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8A5" w:rsidRDefault="00D05374">
      <w:pPr>
        <w:pStyle w:val="Title"/>
        <w:tabs>
          <w:tab w:val="left" w:pos="1134"/>
        </w:tabs>
        <w:ind w:left="1134" w:hanging="1134"/>
        <w:jc w:val="center"/>
        <w:rPr>
          <w:rFonts w:ascii="Times New Roman" w:eastAsia="Times New Roman" w:hAnsi="Times New Roman" w:cs="Times New Roman"/>
          <w:color w:val="2E75B5"/>
          <w:sz w:val="22"/>
          <w:szCs w:val="22"/>
        </w:rPr>
        <w:sectPr w:rsidR="003E18A5">
          <w:footerReference w:type="default" r:id="rId8"/>
          <w:pgSz w:w="12240" w:h="15840"/>
          <w:pgMar w:top="72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2E75B5"/>
          <w:sz w:val="22"/>
          <w:szCs w:val="22"/>
        </w:rPr>
        <w:t>Приглашение к подаче проектных предложений</w:t>
      </w: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E75B5"/>
          <w:sz w:val="22"/>
          <w:szCs w:val="22"/>
        </w:rPr>
      </w:pPr>
    </w:p>
    <w:tbl>
      <w:tblPr>
        <w:tblStyle w:val="afc"/>
        <w:tblW w:w="937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3E18A5">
        <w:tc>
          <w:tcPr>
            <w:tcW w:w="937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ЮНФПА, Фонд ООН в области народонаселения, международное агентство развития, приглашает квалифицированные организации подать предложения по реализации страновой программы ЮНФПА на 2023-2027 гг.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Целью Приглашения к подаче проектных предложений является выя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вление соответствующих неправительственных организаций/гражданских организаций, академических институтов для будущего сотрудничества с Фондом ООН в области народонаселения (ЮНФПА)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Организации, которые желают принять участие в этом Приглашении к подаче 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ектных предложений, должны направить их по электронной почте обозначив «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Приглашение национальных партнеров к подаче предложений – СП ЮНФПА 2023-2027 гг.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 в теме письма по следующему адресу: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ind w:left="7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ЮНФПА в Кыргызстане - адрес электронной почты: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tenders_kyrgyzstan@unfpa.org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 17.00 (по бишкекскому времени) 12 декабря 2022 года.</w:t>
            </w:r>
          </w:p>
          <w:p w:rsidR="003E18A5" w:rsidRDefault="003E18A5">
            <w:pPr>
              <w:ind w:left="76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Предложения, полученные после вышеуказанной даты и времени, не будут приняты к рассмотрению.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Заявки должны быть представлены на английском языке.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(Примечание: все сопроводительные документы, например, устав организации, официальная регистрация, аудиторские отчеты и т. д. могут быть представлены на языке оригинала).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Процесс отбора будет состоять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 двух этапов: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фаза. Подача предложений потенциальным национальным партнером. Крайний срок – 12 декабря 2022 года, 17.00 по бишкекскому времени.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фаза. Потенциальным партнерам, включенным в список отбора, будет предложено разработать рабочий бюджет для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предлагаемых мероприятий.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Любые запросы на дополнительную информацию следует направлять в письменном виде не позднее, чем за 1 неделю до крайнего срока на: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PROCUREMENT_KYRGYZSTAN@unfpa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в копию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nasyrova@unfpa.org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d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3E18A5">
        <w:tc>
          <w:tcPr>
            <w:tcW w:w="9364" w:type="dxa"/>
            <w:gridSpan w:val="2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1: Справочная информация</w:t>
            </w:r>
          </w:p>
        </w:tc>
      </w:tr>
      <w:tr w:rsidR="003E18A5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 Мандат ЮНФПА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:rsidR="003E18A5" w:rsidRDefault="00D05374" w:rsidP="001F6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ЮНФПА является ведущим агентством ООН по </w:t>
            </w:r>
            <w:r w:rsidR="001F675E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мира, в котором каждая беременность желанная, каждые роды безопасные, и все молодые люди имеют возможность реализовать свой потенциал.</w:t>
            </w:r>
          </w:p>
        </w:tc>
      </w:tr>
      <w:tr w:rsidR="003E18A5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 Программа помощи ЮНФПА в Кыргызской Республике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Новая странов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ая программа ЮНФПА в Кыргызстане (СП) на 2023-2027 годы содействует достижению целей Национальной стратегии развития Кыргызской Республики до 2040 года, Национальной программы развития Кыргызской Республики до 2026 года в контексте Декады действий, и, глав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ным образом, ЦУР 3, 5, 16 и 17. Она закреплена в Рамках сотрудничества Организации Объединенных Наций в области устойчивого развития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(РСООНУР) на 2023-2027 годы и непосредственно способствует достижению 3-х из 4-х конечных целей РСООНУР к 2027 году. 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ЮНФПА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поставил перед собой задачу достичь к 2030 году трех результатов, которые изменят мир: 1) отсутствие неудовлетворенных потребностей в планировании семьи; 2) Ноль предотвратимой материнской смертности и 3) Ноль гендерного насилия, включая вредные практики,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такие как детские браки. ЮНФПА Кыргызстан работает с правительством и другими партнерами для достижения этих преобразующих результатов.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эффективной поддержки достижения результатов РСООНУР и в соответствии с их стратегическим планом (можно найти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здесь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), а также рассмотрение незавершенной повестки дня Программы действий Межд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ународной конференции по народонаселению и развитию (ПД МКНР можно найти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здесь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), ЮНФПА обеспечит лидерство в технических вопросах, опыт экспертов для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фасилитации и задействует партнерства в продвижении подхода, основанного на правах человека и ориентированного на потребности и интересы людей в охране СРЗ/РП, основываясь на своем сравнительном преимуществе в профилактике гендерного насилия,  поддержке,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генерировании и анализе демографичекских данных.  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Новая страновая программа (СП) на 2023-2027 годы включает три результата, которые взаимосвязаны с темами подростков и молодежи, которые включены во все три, включая гуманитарную готовность и устойчивость.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Полную СП на 2023-2027 годы можно найти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здесь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рамках этой структуры и как указано в СП на 2023–2027 годы, работая с правительством и другими партнерами, ЮНФПА будет использовать способы взаимодействия и ускорители для достижения трех преобразующих результатов ЮНФПА: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(a) отстаивать повышение бюджетн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ых ассигнований и финансирования для СРЗ, подкрепленное данными и доказательствами; 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(б) продвигать инновационные и цифровые решения, данные, дезагрегированные по полу и возрасту и фактические данные для расширения масштабов экономически рентабельных мероп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риятий для планирования, основанного на правах человека и координации, включая данные, собранные в рамках перепили населения в 2022 году; 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(в) поддерживать механизмы для обеспечения сквозных усилий в рамках гуманитарной деятельности, усилий в целях развити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и обеспечения мира, одновременно продвигая вперед более эффективные подходы, основанные на правах человека и гендерно-преобразовательные подходы, которые улучшают равный доступ к услугам; 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(г) сосредоточить внимание на мероприятиях, направленных на форми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рование спроса и гендерно-преобразовательные мероприятия для искоренения пагубных социальных норм; </w:t>
            </w: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(д) выстроить, укрепить и фасилитировать партнерства с гражданским обществом, включая лиц с инвалидностью, женщин и женские организации, научные круги, част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 сектор, финансовые учреждения, агентства ООН и партнеров по развитию для продвижения прав, воздействия на формирование политики и финансовых потоков, обеспечения подотчентности, мониторинга политик по СРЗ/гендерному насилию и фасилитации сотрудничества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‘Юг-Юг’, особенно  среди центрально-азиатских стран.  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1.3 Конкретные результаты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соответствии со структурой результатов и ресурсов СП на 2023-2027 гг., должны быть достигнуты следующие ожидаемые результаты: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Промежуточный результат 1: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Повышенный уровень интеграции вопросов охраны сексуального и репродуктивного здоровья и защиты репродуктивных прав, а также предупреждения гендерного насилия, искоренения вредных практик и реагирования на них в политики, планы и другие механизмы координаци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и обеспечения подотчетности.  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Индикаторы: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Всеобщий охват услугами здравоохранения, относящийся к политике, стратегиям и механизмам координации подотчетности, механизмам интегрированного сексуального и репродуктивного здоровья, товаров и прав, а также предотвращения гендерного насилия и вредных пра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ктик и реагирования на них.</w:t>
            </w:r>
          </w:p>
          <w:p w:rsidR="003E18A5" w:rsidRDefault="00D053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Поддержка в совершенствовании национальных и субнациональных бюджетных механизмов для выделения адекватного финансирования для решения проблем ГН, СРЗ, молодежи, ВИЧ в рамках государственного социального заказа.</w:t>
            </w:r>
          </w:p>
          <w:p w:rsidR="003E18A5" w:rsidRDefault="00D053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 и нормативных актов, соответствующих международным стандартам в области прав человека, которые поддерживают реализацию всеобщего доступа к сексуальному и репродуктивному здоровью и репродуктивным правам.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Промежуточный результат 2: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Улучшенный доступ под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ростков, молодежи и женщин, особенно из сельских и отдаленных регионов, бедных слоев городского населения, населения из групп медико-социального риска, лиц  с инвалидностью и ключевых групп населения к беспристрастной, доступной и качественной информации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всеохватным услугам по охране СРЗ/РП и услугам для пострадавших от гендерного насилия, включая в гуманитарном контексте.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Индикаторы: 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Инновационные подходы и цифровые решения для повышения качества, охвата и доступности неотложной акушерской помощи (НАП), планирования семьи (ПС), информации и услуг по ВИЧ, ГН, в том числе в гуманитарном контексте.</w:t>
            </w:r>
          </w:p>
          <w:p w:rsidR="003E18A5" w:rsidRDefault="00D053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Поддержка медицинских учреждений для удо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влетворения потребностей профессиональных акушерок в охране сексуального, репродуктивного здоровья, здоровья матерей, новорожденных и подростков.</w:t>
            </w:r>
          </w:p>
          <w:p w:rsidR="003E18A5" w:rsidRDefault="00D053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Применение контрацептивов женщинами с высоким медико-социальным риском материнской смертности (РМС).</w:t>
            </w:r>
          </w:p>
          <w:p w:rsidR="003E18A5" w:rsidRDefault="00D053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а, введение в действие и мониторинг национальных руководств/протоколов/СОП, учебных планов и учебных курсов в соответствии с руководством и инструментами для обеспечения качества и координации основных услуг в области СРЗ/ВИЧ/ГН для подростков и молодежи,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женщин и наиболее маргинализированных групп, в том числе в гуманитарном контексте.</w:t>
            </w:r>
          </w:p>
          <w:p w:rsidR="003E18A5" w:rsidRDefault="00D053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Поддержка улучшения механизмов мониторинга, отчетности и реагирования (обжалование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для повышения качества услуг и предоставления товаров для тех, кто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выпал из поля зрения 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Промежуточный результат 3: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Права и возможности молодежи и женщин расширены и они пользуются преимуществами справедливых гендерных норм и могут в полной мере пользоваться своими репродуктивными правами в безопасной и благоприятной среде, включая гуманитарный контекст и контекст разв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ития.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Индикаторы: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движения и сети уполномочены выступать за борьбу с пагубными социальными и гендерными нормами, стереотипами и дискриминационной практикой, которые способствуют достижению трех преобразующих результатов ЮНФПА.</w:t>
            </w:r>
          </w:p>
          <w:p w:rsidR="003E18A5" w:rsidRDefault="00D05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Женщины, молодеж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волонтеры, движения и платформы гражданского общества инвалидов имеют больше возможностей и поддержки для продвижения норм гендерного равенства, СРЗ и миростроительства.</w:t>
            </w:r>
          </w:p>
          <w:p w:rsidR="003E18A5" w:rsidRDefault="00D05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Позитивные гендерные и социальные нормы, здоровое сексуальное и репродуктивное пов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едение и гендерное равенство продвигаются с помощью социальных сетей и контактов с влиятельными лицами.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Географический охват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Кыргызстан (по всей стране)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2023-2027 гг.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Организации, желающие принять участие в этом </w:t>
            </w:r>
            <w:r w:rsidR="002D2E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запросе проектных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предложений, могут подать заявку на все результаты или на один из результатов, а также рассмотреть один или несколько индикаторов.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Организации могут подавать заявки индивидуально или от имени консорциума с другими неправительственными организациями, пред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ставленными в целевой области предложения или обладающими необходимым опытом.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Недавно ЮНФПА присоединился к онлайн-порталу партнеров Организации Объединенных Наций (UNPP). UNPP — это межведомственный онлайн-портал, к которому могут подключаться партнеры из гражданского общества и агентства ООН. Зарегистрировавшись на портале, партне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ры создают онлайн-профиль, который позволяет агентствам ООН узнать о вашей работе и о том, как с вами можно связаться. Это также позволяет вам изучить возможности партнерства, предоставленные ЮНФПА и другими агентствами ООН, участвующими в UNPP.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будущем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партнеры, получающие финансирование от ЮНФПА, должны будут зарегистрироваться и поддерживать актуальный профиль в UNPP (см. Краткое руководство для партнеров).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Если у вас есть существующий профиль UNPP и вы не можете получить доступ к UNPP, потеряли или забыли свои учетные данные для входа,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обратитесь к администратору UNICC вашей организации или в службу поддержки UNPP.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Если у вас нет существующего профиля на UN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PP, вы можете найти на </w:t>
            </w:r>
            <w:hyperlink r:id="rId15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2"/>
                  <w:szCs w:val="22"/>
                  <w:u w:val="single"/>
                </w:rPr>
                <w:t xml:space="preserve">сайте 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инструкции, о том, как создать профиль на UNPP и как добавить в свой профиль дополнительных пользователей.</w:t>
            </w:r>
          </w:p>
          <w:p w:rsidR="003E18A5" w:rsidRDefault="00D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Для получения более подробной информации о том, как использовать UNP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P для работы с UNFPA, пожалуйста, войдите в раздел </w:t>
            </w:r>
            <w:hyperlink r:id="rId1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2"/>
                  <w:szCs w:val="22"/>
                  <w:u w:val="single"/>
                </w:rPr>
                <w:t>UNFPA Справочного центра UNPP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для партнеров-организаций гражданского общества</w:t>
            </w: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footerReference w:type="default" r:id="rId17"/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e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3E18A5">
        <w:tc>
          <w:tcPr>
            <w:tcW w:w="9364" w:type="dxa"/>
            <w:gridSpan w:val="3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2: Требования к приложениям и сроки</w:t>
            </w:r>
          </w:p>
        </w:tc>
      </w:tr>
      <w:tr w:rsidR="003E18A5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 Документация, необходимая для представления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Выражение заинтересованности должно включать следующую документацию:</w:t>
            </w:r>
          </w:p>
          <w:p w:rsidR="003E18A5" w:rsidRDefault="00D05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Копия положений правового статуса НПО в Кыргызской Республике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Свидетельство о регистрации и Устав организации)</w:t>
            </w:r>
          </w:p>
          <w:p w:rsidR="003E18A5" w:rsidRDefault="00D05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Приложение I - Профиль НПО и Программа Предложения</w:t>
            </w:r>
          </w:p>
          <w:p w:rsidR="003E18A5" w:rsidRDefault="00D05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Последний годовой отчет и аудиторское заключение в виде отдельных документов или гиперссылки на документы</w:t>
            </w:r>
          </w:p>
        </w:tc>
      </w:tr>
      <w:tr w:rsidR="003E18A5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 Ориентировочные сроки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приглашения к подаче предложений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ноября 2022</w:t>
            </w:r>
          </w:p>
        </w:tc>
      </w:tr>
      <w:tr w:rsidR="003E18A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Крайний срок подачи предложений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декабря 2022</w:t>
            </w:r>
          </w:p>
        </w:tc>
      </w:tr>
      <w:tr w:rsidR="003E18A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Крайний срок подачи запросов дополнительной информации / уточнения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ноября 2022</w:t>
            </w:r>
          </w:p>
        </w:tc>
      </w:tr>
      <w:tr w:rsidR="003E18A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* Будет организована онлайн-консультационная встреча с потенциальными кандадатами для разъяснения вопросов.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ноября 2022 с 14.00 до 16.00 состоится предварительная сесс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ия.</w:t>
            </w:r>
          </w:p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Ссылка на зум встречу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здесь</w:t>
              </w:r>
            </w:hyperlink>
          </w:p>
        </w:tc>
      </w:tr>
      <w:tr w:rsidR="003E18A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Рассмотрение заявок НПО</w:t>
            </w:r>
          </w:p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декабря 2022</w:t>
            </w:r>
          </w:p>
        </w:tc>
      </w:tr>
      <w:tr w:rsidR="003E18A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Объявление результатов отобранным НПО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декабря 2022</w:t>
            </w: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05"/>
        <w:gridCol w:w="5829"/>
      </w:tblGrid>
      <w:tr w:rsidR="003E18A5">
        <w:tc>
          <w:tcPr>
            <w:tcW w:w="9364" w:type="dxa"/>
            <w:gridSpan w:val="3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3: Процесс и сроки</w:t>
            </w:r>
          </w:p>
        </w:tc>
      </w:tr>
      <w:tr w:rsidR="003E18A5"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3.1 Обзор и оценка предложений НПО</w:t>
            </w:r>
          </w:p>
        </w:tc>
        <w:tc>
          <w:tcPr>
            <w:tcW w:w="7634" w:type="dxa"/>
            <w:gridSpan w:val="2"/>
            <w:tcBorders>
              <w:left w:val="single" w:sz="6" w:space="0" w:color="BDD7EE"/>
            </w:tcBorders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Заявки будут оцениваться обзорной комиссией для выявления организаций, обладающих необходимыми знаниями, навыками и возможностями для поддержки достижения результатов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 использованием критериев, указанных ниже в разделе 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.2.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Следует, однако, отметить, что участие в этом Приглашении к подаче предложений не гарантирует, что организация будет выбрана для партнерства с ЮНФПА. Отобранным НПО будет предложено заключить соглашение о партнерстве. В рамках партнерства будут соотве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тственно применяться политика и процедуры ЮНФПА.</w:t>
            </w:r>
          </w:p>
        </w:tc>
      </w:tr>
      <w:tr w:rsidR="003E18A5">
        <w:trPr>
          <w:trHeight w:val="20"/>
        </w:trPr>
        <w:tc>
          <w:tcPr>
            <w:tcW w:w="173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3.2 Критерии отбора</w:t>
            </w:r>
          </w:p>
        </w:tc>
        <w:tc>
          <w:tcPr>
            <w:tcW w:w="7634" w:type="dxa"/>
            <w:gridSpan w:val="2"/>
            <w:tcBorders>
              <w:left w:val="single" w:sz="6" w:space="0" w:color="BDD7EE"/>
            </w:tcBorders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Приемлемые организации будут отбираться на прозрачной и конкурентной основе, исходя из их способности обеспечить высокое качество выполнения мероприятий и достижения высоких результатов, в том числе способность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применять инновационные стратегии для достиже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ния программных приоритетов наиболее эффективным и экономичным способом.</w:t>
            </w:r>
          </w:p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Офис ЮНФПА в Кыргызстане рассмотрит достоверность документов, предоставленные НПО и оценит заявки по следующим критериям: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Внимание: Любое предложение, предоставленное не на указанно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 рабочем языке, будет исключено из рассмотрения.</w:t>
            </w:r>
          </w:p>
        </w:tc>
      </w:tr>
      <w:tr w:rsidR="003E18A5">
        <w:trPr>
          <w:trHeight w:val="60"/>
        </w:trPr>
        <w:tc>
          <w:tcPr>
            <w:tcW w:w="173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и Лидерство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:rsidR="003E18A5" w:rsidRDefault="00D053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имеет четко определенную миссию и цели, отражающие структуру и контекст организации, и находятся в соответствии с приоритетными областями ЮНФПА и инициативы «Луч света»</w:t>
            </w:r>
          </w:p>
          <w:p w:rsidR="003E18A5" w:rsidRDefault="00D05374">
            <w:pPr>
              <w:numPr>
                <w:ilvl w:val="0"/>
                <w:numId w:val="10"/>
              </w:numPr>
              <w:ind w:left="245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 организации нет истории мошенничества, жалоб или проблем с предоставлением услуг.</w:t>
            </w:r>
          </w:p>
        </w:tc>
      </w:tr>
      <w:tr w:rsidR="003E18A5">
        <w:trPr>
          <w:trHeight w:val="60"/>
        </w:trPr>
        <w:tc>
          <w:tcPr>
            <w:tcW w:w="173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Человеческие ресурсы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:rsidR="003E18A5" w:rsidRDefault="00D05374">
            <w:pPr>
              <w:numPr>
                <w:ilvl w:val="0"/>
                <w:numId w:val="1"/>
              </w:numPr>
              <w:ind w:left="26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располагает достаточными кадровыми ресурсами и техническими знаниями для осуществления предлагаемых мероприятий.</w:t>
            </w:r>
          </w:p>
          <w:p w:rsidR="003E18A5" w:rsidRDefault="00D05374">
            <w:pPr>
              <w:numPr>
                <w:ilvl w:val="0"/>
                <w:numId w:val="1"/>
              </w:numPr>
              <w:ind w:left="26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не имеет конфликтов интересов с ЮНФПА или его персоналом, который не могут быть эффективно устранены.</w:t>
            </w:r>
          </w:p>
          <w:p w:rsidR="003E18A5" w:rsidRDefault="00D05374">
            <w:pPr>
              <w:numPr>
                <w:ilvl w:val="0"/>
                <w:numId w:val="1"/>
              </w:numPr>
              <w:ind w:left="26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истории организации не было случаев сексуальной эксплуатации, жестокого обращения и домогательств. Персонал организации соглашается придержи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ваться соответствующей политики и процедуры UN PSEA (предотвращение сексуальной эксплуатации и надругательства).</w:t>
            </w:r>
          </w:p>
        </w:tc>
      </w:tr>
      <w:tr w:rsidR="003E18A5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Сравнительное преимущество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:rsidR="003E18A5" w:rsidRDefault="00D05374">
            <w:pPr>
              <w:numPr>
                <w:ilvl w:val="0"/>
                <w:numId w:val="5"/>
              </w:numPr>
              <w:ind w:left="17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Миссия и/или стратегический план организации сосредоточены, по крайней мере, на одной из программных областей ЮНФПА (гендерное равенство, профилактика гендерного насилия / насилия в отношении женщин и ответные меры).</w:t>
            </w:r>
          </w:p>
          <w:p w:rsidR="003E18A5" w:rsidRDefault="00D05374">
            <w:pPr>
              <w:numPr>
                <w:ilvl w:val="0"/>
                <w:numId w:val="5"/>
              </w:numPr>
              <w:ind w:left="17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имеет опыт работы как, в це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лом, как на уровне страны, так и на уровне регионов и занимает видное место в сферах, связанных с мандатом ЮНФПА.</w:t>
            </w:r>
          </w:p>
          <w:p w:rsidR="003E18A5" w:rsidRDefault="00D05374">
            <w:pPr>
              <w:numPr>
                <w:ilvl w:val="0"/>
                <w:numId w:val="5"/>
              </w:numPr>
              <w:ind w:left="17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зарекомендовала себя в реализации аналогичных мероприятий и заслуживает доверия со стороны партнеров.</w:t>
            </w:r>
          </w:p>
          <w:p w:rsidR="003E18A5" w:rsidRDefault="00D05374">
            <w:pPr>
              <w:numPr>
                <w:ilvl w:val="0"/>
                <w:numId w:val="5"/>
              </w:numPr>
              <w:ind w:left="175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имеет контакты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сообществами и способность охватить целевую аудиторию; особенно уязвимые группы населения и труднодоступные районы.</w:t>
            </w:r>
          </w:p>
        </w:tc>
      </w:tr>
      <w:tr w:rsidR="003E18A5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:rsidR="003E18A5" w:rsidRDefault="00D05374">
            <w:pPr>
              <w:numPr>
                <w:ilvl w:val="0"/>
                <w:numId w:val="11"/>
              </w:numPr>
              <w:ind w:left="175" w:firstLine="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располагает системами и инструментами для регулярного сбора, анализа и использования данных мониторинга программ.</w:t>
            </w:r>
          </w:p>
        </w:tc>
      </w:tr>
      <w:tr w:rsidR="003E18A5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Партнерские отношения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:rsidR="003E18A5" w:rsidRDefault="00D05374">
            <w:pPr>
              <w:numPr>
                <w:ilvl w:val="0"/>
                <w:numId w:val="9"/>
              </w:numPr>
              <w:ind w:left="175" w:firstLine="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установила партнерские отношения с правительством и другими соответствующими органами в стране, международными и частными организациями и медиа.</w:t>
            </w:r>
          </w:p>
        </w:tc>
      </w:tr>
      <w:tr w:rsidR="003E18A5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Экологические соображения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:rsidR="003E18A5" w:rsidRDefault="00D05374">
            <w:pPr>
              <w:numPr>
                <w:ilvl w:val="0"/>
                <w:numId w:val="4"/>
              </w:numPr>
              <w:ind w:left="175" w:firstLine="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разработала политику или практику для снижения воздействия своей деятельности на окружающую среду. Если политики не существует, организация не должна иметь в своей деятельности историю, которая оказывала негативное воздействие на окружающую сре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ду.</w:t>
            </w:r>
          </w:p>
        </w:tc>
      </w:tr>
      <w:tr w:rsidR="003E18A5">
        <w:trPr>
          <w:trHeight w:val="2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3.3 Соглашение о перспективном партнерстве</w:t>
            </w:r>
          </w:p>
        </w:tc>
        <w:tc>
          <w:tcPr>
            <w:tcW w:w="7634" w:type="dxa"/>
            <w:gridSpan w:val="2"/>
            <w:tcBorders>
              <w:left w:val="single" w:sz="6" w:space="0" w:color="BDD7EE"/>
            </w:tcBorders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ЮНФПА проинформирует отобранные организации по электронной почте, указанной в заявлении организации.</w:t>
            </w:r>
          </w:p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18A5" w:rsidRDefault="003E18A5">
      <w:pPr>
        <w:pStyle w:val="Title"/>
        <w:tabs>
          <w:tab w:val="left" w:pos="1134"/>
        </w:tabs>
        <w:ind w:left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3E18A5">
          <w:footerReference w:type="default" r:id="rId19"/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End w:id="0"/>
      <w:bookmarkEnd w:id="1"/>
      <w:bookmarkEnd w:id="2"/>
    </w:p>
    <w:p w:rsidR="003E18A5" w:rsidRDefault="00D05374">
      <w:pPr>
        <w:pStyle w:val="Title"/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2E75B5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E75B5"/>
          <w:sz w:val="22"/>
          <w:szCs w:val="22"/>
        </w:rPr>
        <w:t>Приложение I: Профиль НПО и Формат Программного Предложения (заполняется НПО, подающей проектное предложение)</w:t>
      </w: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E75B5"/>
          <w:sz w:val="22"/>
          <w:szCs w:val="22"/>
        </w:rPr>
      </w:pPr>
    </w:p>
    <w:tbl>
      <w:tblPr>
        <w:tblStyle w:val="af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E18A5">
        <w:tc>
          <w:tcPr>
            <w:tcW w:w="9350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этого проектного предложения - предоставить следующую информацию: а) обзор НПО, б) план мероприятий, который НПО предлагает осуществить при поддержке ЮНФПА и в) предоставить ЮНФПА достаточные доказательств, чтобы показать, что она соответствует критер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иям, изложенным в разделе 3.2 Отдельная форма должна быть заполнена для каждого представленного предложения программы.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Информация, представленная в этой форме, будет использоваться для оценки заявок НПО, как указано в Приглашении к подаче предложений</w:t>
            </w: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2225"/>
        <w:gridCol w:w="5249"/>
      </w:tblGrid>
      <w:tr w:rsidR="003E18A5">
        <w:trPr>
          <w:trHeight w:val="242"/>
        </w:trPr>
        <w:tc>
          <w:tcPr>
            <w:tcW w:w="9355" w:type="dxa"/>
            <w:gridSpan w:val="3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А. Идентификация НПО</w:t>
            </w:r>
          </w:p>
        </w:tc>
      </w:tr>
      <w:tr w:rsidR="003E18A5">
        <w:trPr>
          <w:trHeight w:val="310"/>
        </w:trPr>
        <w:tc>
          <w:tcPr>
            <w:tcW w:w="1881" w:type="dxa"/>
            <w:vMerge w:val="restart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А.1 Информация об организации</w:t>
            </w: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Организации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347"/>
        </w:trPr>
        <w:tc>
          <w:tcPr>
            <w:tcW w:w="1881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146"/>
        </w:trPr>
        <w:tc>
          <w:tcPr>
            <w:tcW w:w="1881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Сайт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182"/>
        </w:trPr>
        <w:tc>
          <w:tcPr>
            <w:tcW w:w="1881" w:type="dxa"/>
            <w:vMerge w:val="restart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А.2 Контактная информация</w:t>
            </w: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76"/>
        </w:trPr>
        <w:tc>
          <w:tcPr>
            <w:tcW w:w="1881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182"/>
        </w:trPr>
        <w:tc>
          <w:tcPr>
            <w:tcW w:w="1881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92"/>
        </w:trPr>
        <w:tc>
          <w:tcPr>
            <w:tcW w:w="1881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Эл. адрес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4409"/>
        </w:trPr>
        <w:tc>
          <w:tcPr>
            <w:tcW w:w="1881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А.3 Заявление о конфликте интересов</w:t>
            </w: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Насколько вам известно, имеют ли какие-либо сотрудники вашей организации личные или финансовые отношения с любым персоналом ЮНФПА или любые другие конфликты интересов с этой программой или ЮНФПА? Если да, объясните.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530"/>
        </w:trPr>
        <w:tc>
          <w:tcPr>
            <w:tcW w:w="1881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А.4 Заявление о мошенничестве</w:t>
            </w:r>
          </w:p>
        </w:tc>
        <w:tc>
          <w:tcPr>
            <w:tcW w:w="222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Существу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ет ли в вашей организации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политика и практика предотвращения мошенничества?</w:t>
            </w:r>
          </w:p>
        </w:tc>
        <w:tc>
          <w:tcPr>
            <w:tcW w:w="5249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340"/>
        <w:gridCol w:w="5125"/>
      </w:tblGrid>
      <w:tr w:rsidR="003E18A5">
        <w:trPr>
          <w:trHeight w:val="233"/>
        </w:trPr>
        <w:tc>
          <w:tcPr>
            <w:tcW w:w="9350" w:type="dxa"/>
            <w:gridSpan w:val="3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Б. Обзор организации</w:t>
            </w:r>
          </w:p>
        </w:tc>
      </w:tr>
      <w:tr w:rsidR="003E18A5">
        <w:trPr>
          <w:trHeight w:val="237"/>
        </w:trPr>
        <w:tc>
          <w:tcPr>
            <w:tcW w:w="1885" w:type="dxa"/>
            <w:vMerge w:val="restart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Б.1 Годовой бюджет</w:t>
            </w:r>
          </w:p>
        </w:tc>
        <w:tc>
          <w:tcPr>
            <w:tcW w:w="2340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Размер годового бюджета (прошлый год, доллар США)</w:t>
            </w:r>
          </w:p>
        </w:tc>
        <w:tc>
          <w:tcPr>
            <w:tcW w:w="5125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128"/>
        </w:trPr>
        <w:tc>
          <w:tcPr>
            <w:tcW w:w="1885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2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Опишите базу финансирования, включая местных, международных и частных доноров.</w:t>
            </w:r>
          </w:p>
        </w:tc>
      </w:tr>
      <w:tr w:rsidR="003E18A5">
        <w:trPr>
          <w:trHeight w:val="164"/>
        </w:trPr>
        <w:tc>
          <w:tcPr>
            <w:tcW w:w="1885" w:type="dxa"/>
            <w:vMerge/>
            <w:shd w:val="clear" w:color="auto" w:fill="EDEDED"/>
          </w:tcPr>
          <w:p w:rsidR="003E18A5" w:rsidRDefault="003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партнеры/доноры по финансированию</w:t>
            </w:r>
          </w:p>
        </w:tc>
        <w:tc>
          <w:tcPr>
            <w:tcW w:w="5125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Б.2 Численность персонала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Перечислите число и ключевые обязанности основного персонала организации.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Б.3 Мандат и происхождение НПО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Опишите мандат и сферу деятельности организации и то, как она соответствует мандату ЮНФПА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Б.4 Имеющиеся знания и специалисты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Опишите отличительный технический потенциал организации для достижения результатов в предлагаемой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программной области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Б.5 Опыт работы в предлагаемой области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Опишите тип/объем и ключевые результаты, достигнутые в предлагаемой программной области за последние годы, включая любое признание, полученное на местном / глобальном уровне для работы в предлагаемой области. Включите краткое описание опыта работы в Кыргыз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стане и предыдущий опыт работы с любой организацией Организации Объединенных Наций.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Б.6 Знание локальной ситуации/ Доступ к целевой аудитории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Опишите присутствие и взаимоотношения с сообществом в местах, где будут проводиться мероприятия: включите информа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цию о доступе к уязвимым группам населения и труднодоступным районам, если таковые имеются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Б.7 Доверие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какой степени НПО признается авторитетной правительством и / или другими ключевыми заинтересованными сторонами / партнерами?</w:t>
            </w:r>
          </w:p>
        </w:tc>
      </w:tr>
      <w:tr w:rsidR="003E18A5">
        <w:trPr>
          <w:trHeight w:val="800"/>
        </w:trPr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Б.8 Мониторинг</w:t>
            </w:r>
          </w:p>
        </w:tc>
        <w:tc>
          <w:tcPr>
            <w:tcW w:w="7465" w:type="dxa"/>
            <w:gridSpan w:val="2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Опишите с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уществующие системы (политики, процедуры, руководства и другие инструменты), которые регулярно собирают, анализируют и используют данные мониторинга программы.</w:t>
            </w: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465"/>
      </w:tblGrid>
      <w:tr w:rsidR="003E18A5">
        <w:trPr>
          <w:trHeight w:val="242"/>
        </w:trPr>
        <w:tc>
          <w:tcPr>
            <w:tcW w:w="9350" w:type="dxa"/>
            <w:gridSpan w:val="2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В. Обзор предложения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В.1 Название программы</w:t>
            </w:r>
          </w:p>
        </w:tc>
        <w:tc>
          <w:tcPr>
            <w:tcW w:w="7465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В.2 Результаты, к достижению которых способствует программа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Обратитесь к разделу 1.3 Приглашения к подаче предложений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В.3 Длительность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предлагаемой программы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От ММ / ГГГГ до ММ / ГГГГ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В.4 Бюджет предлагаемой программы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Бюджет может быть предоставлен во вт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орой фазе.</w:t>
            </w: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465"/>
      </w:tblGrid>
      <w:tr w:rsidR="003E18A5">
        <w:trPr>
          <w:trHeight w:val="215"/>
        </w:trPr>
        <w:tc>
          <w:tcPr>
            <w:tcW w:w="9350" w:type="dxa"/>
            <w:gridSpan w:val="2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Г. Предлагаемые меры и мероприятия по достижению намеченных результатов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Г.1 Краткое описание программы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этом разделе приводится краткое описание программы.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Оно должно включать в себя описание проблемы, контекст и обоснование Программы:</w:t>
            </w:r>
          </w:p>
          <w:p w:rsidR="003E18A5" w:rsidRDefault="00D0537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Обзор существующей проблемы;</w:t>
            </w:r>
          </w:p>
          <w:p w:rsidR="003E18A5" w:rsidRDefault="00D0537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Как проблема связана с глобальными / региональными / национальными приоритетами и политикой; и</w:t>
            </w:r>
          </w:p>
          <w:p w:rsidR="003E18A5" w:rsidRDefault="00D0537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Актуальность программы в решении определённой пробле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мы</w:t>
            </w:r>
          </w:p>
          <w:p w:rsidR="003E18A5" w:rsidRDefault="00D05374">
            <w:pPr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Г.2 Организационная основа и потенциал для реализации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этом разделе следует вкратце объяснить, почему данная организация имеет опыт, потенциал и приверженность к успешному осуществлению плана работы.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Г.3 Ожидаемые результаты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«Что» эта программа достигнет - цели программы и ожидаемые результаты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Г.4 Описание мероприятий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этом разделе должно содержаться подробное описание планируемых мероприятий, которые необходимо предпринять для получения ожидаемых результатов. Должны быть ук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азаны четкие связи между действиями и результатами. Заявитель должен включить отдельную электронную таблицу Excel с подробными сведениями о деятельности и о графике реализации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Г.5 Пол, справедливость и устойчивость (необязательно)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Вкратце объясните практические меры, принятые в рамках программы по рассмотрению гендерных вопросов, справедливости и устойчивости.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Г.6 Воздействие на окружающую среду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Наметить вероятное воздействие программы на окружающую среду, если такое предполагается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Г.7 Другие партнеры-участники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этом разделе описать других партнеров, которые играют определенную роль в реализации программы, включая потенциальных субконтрактеров и другие организации, предоставляющие техническую и финансовую поддержку программы.</w:t>
            </w:r>
          </w:p>
        </w:tc>
      </w:tr>
      <w:tr w:rsidR="003E18A5"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Г.8 Вклад НПО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этом разделе кратко описать конкретный вклад партнера в программу (в денежной или неденежной форме)</w:t>
            </w:r>
          </w:p>
        </w:tc>
      </w:tr>
      <w:tr w:rsidR="003E18A5">
        <w:trPr>
          <w:trHeight w:val="242"/>
        </w:trPr>
        <w:tc>
          <w:tcPr>
            <w:tcW w:w="188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Г.9 Дополнительная документация</w:t>
            </w:r>
          </w:p>
        </w:tc>
        <w:tc>
          <w:tcPr>
            <w:tcW w:w="746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Дополнительную документацию можно указать здесь для справки.</w:t>
            </w:r>
          </w:p>
        </w:tc>
      </w:tr>
    </w:tbl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E18A5" w:rsidRDefault="003E18A5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3E18A5">
        <w:tc>
          <w:tcPr>
            <w:tcW w:w="9350" w:type="dxa"/>
            <w:gridSpan w:val="2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lastRenderedPageBreak/>
              <w:t>Секция Д. Программные риски и мониторинг</w:t>
            </w:r>
          </w:p>
        </w:tc>
      </w:tr>
      <w:tr w:rsidR="003E18A5">
        <w:trPr>
          <w:trHeight w:val="1691"/>
        </w:trPr>
        <w:tc>
          <w:tcPr>
            <w:tcW w:w="206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Д.1 Риски</w:t>
            </w:r>
          </w:p>
        </w:tc>
        <w:tc>
          <w:tcPr>
            <w:tcW w:w="728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Определите основные факторы риска, которые могут привести к тому, что предлагаемые мероприятия не будут успешно реализованы, и какие-либо ключевые допущения, на которых основано предлагаемое вмешательство. Включите любые действия, предпринимаемые организац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ией для устранения / уменьшения выявленных рисков.</w:t>
            </w:r>
          </w:p>
        </w:tc>
      </w:tr>
      <w:tr w:rsidR="003E18A5">
        <w:trPr>
          <w:trHeight w:val="350"/>
        </w:trPr>
        <w:tc>
          <w:tcPr>
            <w:tcW w:w="206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Д.2 Мониторинг</w:t>
            </w:r>
          </w:p>
        </w:tc>
        <w:tc>
          <w:tcPr>
            <w:tcW w:w="7285" w:type="dxa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 этом разделе кратко опишите мероприятия по мониторингу.</w:t>
            </w: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3E18A5" w:rsidRDefault="003E18A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  <w:sectPr w:rsidR="003E18A5">
          <w:type w:val="continuous"/>
          <w:pgSz w:w="12240" w:h="15840"/>
          <w:pgMar w:top="72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E18A5" w:rsidRDefault="003E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3E18A5">
        <w:tc>
          <w:tcPr>
            <w:tcW w:w="9350" w:type="dxa"/>
            <w:gridSpan w:val="2"/>
            <w:shd w:val="clear" w:color="auto" w:fill="002060"/>
          </w:tcPr>
          <w:p w:rsidR="003E18A5" w:rsidRDefault="00D0537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Секция Е. Рекомендации</w:t>
            </w:r>
          </w:p>
        </w:tc>
      </w:tr>
      <w:tr w:rsidR="003E18A5">
        <w:trPr>
          <w:trHeight w:val="233"/>
        </w:trPr>
        <w:tc>
          <w:tcPr>
            <w:tcW w:w="9350" w:type="dxa"/>
            <w:gridSpan w:val="2"/>
            <w:shd w:val="clear" w:color="auto" w:fill="EDEDED"/>
          </w:tcPr>
          <w:p w:rsidR="003E18A5" w:rsidRDefault="00D053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Просьба указать 3 рекомендателей для поддержки вашего предложения. Укажите имя, должность, контактную информацию и краткое описание отношений.</w:t>
            </w:r>
          </w:p>
        </w:tc>
      </w:tr>
      <w:tr w:rsidR="003E18A5">
        <w:tc>
          <w:tcPr>
            <w:tcW w:w="206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Рекомендатель 1:</w:t>
            </w:r>
          </w:p>
        </w:tc>
        <w:tc>
          <w:tcPr>
            <w:tcW w:w="7285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c>
          <w:tcPr>
            <w:tcW w:w="206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Рекомендатель 2:</w:t>
            </w:r>
          </w:p>
        </w:tc>
        <w:tc>
          <w:tcPr>
            <w:tcW w:w="7285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8A5">
        <w:trPr>
          <w:trHeight w:val="233"/>
        </w:trPr>
        <w:tc>
          <w:tcPr>
            <w:tcW w:w="2065" w:type="dxa"/>
            <w:shd w:val="clear" w:color="auto" w:fill="EDEDED"/>
          </w:tcPr>
          <w:p w:rsidR="003E18A5" w:rsidRDefault="00D0537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Рекомендатель 3:</w:t>
            </w:r>
          </w:p>
        </w:tc>
        <w:tc>
          <w:tcPr>
            <w:tcW w:w="7285" w:type="dxa"/>
          </w:tcPr>
          <w:p w:rsidR="003E18A5" w:rsidRDefault="003E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60" w:type="dxa"/>
        <w:tblInd w:w="-8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200"/>
      </w:tblGrid>
      <w:tr w:rsidR="008F2753" w:rsidTr="008F2753">
        <w:tc>
          <w:tcPr>
            <w:tcW w:w="9360" w:type="dxa"/>
            <w:gridSpan w:val="2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002060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Раздел G. Оценка потенциала в области предупреждения сексуальной эксплуатации и сексуальных надругательств (ЗСЭСН)  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Обратите внимание, что результаты этой оценки могут быть переданы другим подразделениям Организации Объединенных Наций</w:t>
            </w:r>
          </w:p>
        </w:tc>
      </w:tr>
      <w:tr w:rsidR="008F2753" w:rsidTr="008F2753">
        <w:trPr>
          <w:trHeight w:val="400"/>
        </w:trPr>
        <w:tc>
          <w:tcPr>
            <w:tcW w:w="2160" w:type="dxa"/>
            <w:vMerge w:val="restart"/>
            <w:tcBorders>
              <w:top w:val="single" w:sz="6" w:space="0" w:color="BDD7EE"/>
              <w:left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G.0 Предварительная проверка 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Имеет ли организация прямой контакт с бенефициарами? </w:t>
            </w:r>
          </w:p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случае отрицательного ответа заполнять данный раздел до конца не требуется. Однако обратите внимание: если ваша организация начнет работать с бенефициарами позже, ЮНФПА потребует от вашей организации заполнить форму самооценки. </w:t>
            </w:r>
          </w:p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Если да, продолжайте заполнять форму. </w:t>
            </w:r>
          </w:p>
        </w:tc>
      </w:tr>
      <w:tr w:rsidR="008F2753" w:rsidTr="008F2753">
        <w:trPr>
          <w:trHeight w:val="400"/>
        </w:trPr>
        <w:tc>
          <w:tcPr>
            <w:tcW w:w="2160" w:type="dxa"/>
            <w:vMerge/>
            <w:tcBorders>
              <w:top w:val="single" w:sz="6" w:space="0" w:color="BDD7EE"/>
              <w:left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Проводилась ли оценка потенциала организации в области ЗСЭСН каким-либо подразделением ООН за последние 5 лет? </w:t>
            </w:r>
          </w:p>
          <w:p w:rsidR="008F2753" w:rsidRDefault="008F2753" w:rsidP="000D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Если да, укажите баллы оценки и приложите подтверждающую документацию и не заполняйте этот раздел.</w:t>
            </w:r>
          </w:p>
          <w:p w:rsidR="008F2753" w:rsidRDefault="008F2753" w:rsidP="000D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8F2753" w:rsidRDefault="008F2753" w:rsidP="000D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Если нет, заполните разделы G.1 — G.8</w:t>
            </w:r>
          </w:p>
        </w:tc>
      </w:tr>
      <w:tr w:rsidR="008F2753" w:rsidTr="008F2753">
        <w:trPr>
          <w:trHeight w:val="974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G.1 Требования к политике 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Предоставьте подтверждающую документацию для любых полей, отмеченных как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вашей организации существует программный документ по вопросам ЗСЭСН. Данный документ включает по меньшей мере письменное обязательство о том, что партнер принимает стандарты поведения, изложенные в разделе 3 документа ST/SGB/2003/13.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Сопроводительная документация может включать: </w:t>
            </w:r>
          </w:p>
          <w:p w:rsidR="008F2753" w:rsidRDefault="008F2753" w:rsidP="008F275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Кодекс поведения (внутренний или межведомственный)</w:t>
            </w:r>
          </w:p>
          <w:p w:rsidR="008F2753" w:rsidRDefault="008F2753" w:rsidP="008F275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Политику ЗСЭСН</w:t>
            </w:r>
          </w:p>
          <w:p w:rsidR="008F2753" w:rsidRDefault="008F2753" w:rsidP="008F275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Документацию стандартных процедур, предписывающих всем сотрудникам ознакомиться/подписать политику ЗСЭСН</w:t>
            </w:r>
          </w:p>
          <w:p w:rsidR="008F2753" w:rsidRDefault="008F2753" w:rsidP="008F275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2753" w:rsidTr="008F2753">
        <w:trPr>
          <w:trHeight w:val="974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G.2 Контракты с субподрядчиками 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Контракты и соглашения о партнерстве вашей организации включают стандартную оговорку, требующую от субподрядчиков принятия политики, запрещающей СЭН, и принятия мер по предотвращению СЭН и реагированию на подобные случаи.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*Не применимо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Сопроводительная документация может включать:</w:t>
            </w:r>
          </w:p>
          <w:p w:rsidR="008F2753" w:rsidRDefault="008F2753" w:rsidP="008F2753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Контракты/партнерские соглашения для субподрядчиков</w:t>
            </w:r>
          </w:p>
          <w:p w:rsidR="008F2753" w:rsidRDefault="008F2753" w:rsidP="008F2753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* Обратите внимание: если партнер указывает во время самооценки, что не использует услуги субподрядчиков, то такой ключевой стандарт не применим, и ЮНФПА будет оценивать этот ключевой стандарт с помощью оценки «не применимо». Однако если эта ситуация изменится и один и тот же партнер впоследствии передаст деятельность на субподряд другой организации, потребуется повторная оценка.</w:t>
            </w:r>
          </w:p>
        </w:tc>
      </w:tr>
      <w:tr w:rsidR="008F2753" w:rsidTr="008F2753">
        <w:trPr>
          <w:trHeight w:val="605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G.3 Найм персонала 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вашей организации существует систематическая процедура проверки кандидатов на работу с помощью подходящего тестирования. Оно должно включать как минимум проверку данных о сексуальных проступках и личное заявление кандидата на должность, в котором указано, что он никогда не подвергался санкциям (дисциплинарным, административным или уголовным), вытекающим из расследования в связи с СЭН, или оставил занимаемый пост до проведения расследования и отказался сотрудничать в ходе такого расследования.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Сопроводительная документация может включать: </w:t>
            </w:r>
          </w:p>
          <w:p w:rsidR="008F2753" w:rsidRDefault="008F2753" w:rsidP="008F27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Шаблон проверки данных, включая проверку на совершенные преступления сексуального характера (в том числе подтверждение от предыдущих работодателей и персональное заявление)</w:t>
            </w:r>
          </w:p>
          <w:p w:rsidR="008F2753" w:rsidRDefault="008F2753" w:rsidP="008F27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Процедуры найма</w:t>
            </w:r>
          </w:p>
          <w:p w:rsidR="008F2753" w:rsidRDefault="008F2753" w:rsidP="008F27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</w:tc>
      </w:tr>
      <w:tr w:rsidR="008F2753" w:rsidTr="008F2753">
        <w:trPr>
          <w:trHeight w:val="425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G.4 Обучение 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Ваша организация проводит обязательные тренинги (онлайн или очно) для всех сотрудников партнеров-исполнителей и связанного с ними персонала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(далее «персонал») по вопросам ЗСЭСН и соответствующим процедурам. Обучение должно, как минимум, включать: </w:t>
            </w:r>
          </w:p>
          <w:p w:rsidR="008F2753" w:rsidRDefault="008F2753" w:rsidP="008F2753">
            <w:pPr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СЭН (соответствующее определению, предоставленному ООН); </w:t>
            </w:r>
          </w:p>
          <w:p w:rsidR="008F2753" w:rsidRDefault="008F2753" w:rsidP="008F2753">
            <w:pPr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разъяснения о запрете СЭН; и </w:t>
            </w:r>
          </w:p>
          <w:p w:rsidR="008F2753" w:rsidRDefault="008F2753" w:rsidP="008F2753">
            <w:pPr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действия, которые должен предпринять персонал (т. е. оперативное сообщение о подозрениях и направление жертв за надлежащей помощью).</w:t>
            </w:r>
          </w:p>
          <w:p w:rsidR="008F2753" w:rsidRDefault="008F2753" w:rsidP="000D463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Сопроводительная документация может включать: </w:t>
            </w:r>
          </w:p>
          <w:p w:rsidR="008F2753" w:rsidRDefault="008F2753" w:rsidP="008F275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Комплект средств обучения</w:t>
            </w:r>
          </w:p>
          <w:p w:rsidR="008F2753" w:rsidRDefault="008F2753" w:rsidP="008F275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Лист учета посещения</w:t>
            </w:r>
          </w:p>
          <w:p w:rsidR="008F2753" w:rsidRDefault="008F2753" w:rsidP="008F275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Свидетельства о прохождении обучения</w:t>
            </w:r>
          </w:p>
          <w:p w:rsidR="008F2753" w:rsidRDefault="008F2753" w:rsidP="008F275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</w:tc>
      </w:tr>
      <w:tr w:rsidR="008F2753" w:rsidTr="008F2753">
        <w:trPr>
          <w:trHeight w:val="400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G.5 Оповещение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Ваша организация располагает механизмами и процедурами для персонала, получателей помощи и сообществ, включая детей, для сообщения о предполагаемых случаях СЭН, отвечающими ключевым стандартам оповещения (то есть безопасности, конфиденциальности и доступности).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Сопроводительная документация может включать: 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Внутренний механизм подачи жалоб и предоставления обратной связи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Участие в совместных механизмах отчетности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Информационные материалы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План информационного просвещения по вопросам ЗСЭСН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Описание механизма оповещения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Политику осведомителей</w:t>
            </w:r>
          </w:p>
          <w:p w:rsidR="008F2753" w:rsidRDefault="008F2753" w:rsidP="008F27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2753" w:rsidTr="008F2753">
        <w:trPr>
          <w:trHeight w:val="400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G.6 Помощь 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heading=h.2et92p0" w:colFirst="0" w:colLast="0"/>
            <w:bookmarkEnd w:id="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Ваша организация располагает системой направления жертв СЭН в службы поддержки, доступные на местном уровне, на основе потребностей и согласия жертв. Этот пункт может включать активный вклад во внутригосударственные сети ЗСЭСН и/или системы противодействия гендерному насилию (где это применимо) и/или направления для получения помощи на межучрежденческом уровне.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Сопроводительная документация может включать:</w:t>
            </w:r>
          </w:p>
          <w:p w:rsidR="008F2753" w:rsidRDefault="008F2753" w:rsidP="008F27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Направление за помощью внутри организации или в другие ведомства</w:t>
            </w:r>
          </w:p>
          <w:p w:rsidR="008F2753" w:rsidRDefault="008F2753" w:rsidP="008F27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Список доступных поставщиков услуг</w:t>
            </w:r>
          </w:p>
          <w:p w:rsidR="008F2753" w:rsidRDefault="008F2753" w:rsidP="008F27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Описание реферальной или стандартной рабочей процедуры (СРП)</w:t>
            </w:r>
          </w:p>
          <w:p w:rsidR="008F2753" w:rsidRDefault="008F2753" w:rsidP="008F27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Форму направления для жертв гендерного насилия/СЭН</w:t>
            </w:r>
          </w:p>
          <w:p w:rsidR="008F2753" w:rsidRDefault="008F2753" w:rsidP="008F27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Руководящие принципы в отношении помощи жертве и/или обучения по вопросам гендерного насилия и принципам ведения случаев гендерного насилия</w:t>
            </w:r>
          </w:p>
          <w:p w:rsidR="008F2753" w:rsidRDefault="008F2753" w:rsidP="008F27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  <w:p w:rsidR="008F2753" w:rsidRDefault="008F2753" w:rsidP="000D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8F2753" w:rsidTr="008F2753">
        <w:trPr>
          <w:trHeight w:val="400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G.7 Расследования 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вашей организации существует процесс расследования заявлений о случаях СЭН, могут быть предоставлены доказательства. Пункт может включать в себя систему направления дел для проведения расследований в тех случаях, когда внутренних возможностей недостаточно.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Сопроводительная документация может включать:</w:t>
            </w:r>
          </w:p>
          <w:p w:rsidR="008F2753" w:rsidRDefault="008F2753" w:rsidP="008F2753">
            <w:pPr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Письменный процесс рассмотрения заявлений о случаях СЭН </w:t>
            </w:r>
          </w:p>
          <w:p w:rsidR="008F2753" w:rsidRDefault="008F2753" w:rsidP="008F2753">
            <w:pPr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Выделенные ресурсы для расследования(-ий) и/или обязательство партнера по оказанию поддержки</w:t>
            </w:r>
          </w:p>
          <w:p w:rsidR="008F2753" w:rsidRDefault="008F2753" w:rsidP="008F2753">
            <w:pPr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Политику/процедуры расследования ЗСЭСН </w:t>
            </w:r>
          </w:p>
          <w:p w:rsidR="008F2753" w:rsidRDefault="008F2753" w:rsidP="008F2753">
            <w:pPr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Контракт с профессиональной следственной службой</w:t>
            </w:r>
          </w:p>
          <w:p w:rsidR="008F2753" w:rsidRDefault="008F2753" w:rsidP="008F2753">
            <w:pPr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2753" w:rsidTr="008F2753">
        <w:trPr>
          <w:trHeight w:val="400"/>
        </w:trPr>
        <w:tc>
          <w:tcPr>
            <w:tcW w:w="2160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G.8 Корректировочные меры </w:t>
            </w:r>
          </w:p>
        </w:tc>
        <w:tc>
          <w:tcPr>
            <w:tcW w:w="720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Ваша организация приняла соответствующие корректировочные меры в ответ на заявления о случаях СЭН, если таковые имели место. </w:t>
            </w:r>
          </w:p>
          <w:p w:rsidR="008F2753" w:rsidRDefault="008F2753" w:rsidP="000D46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Нет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Не применимо </w:t>
            </w:r>
            <w:r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Сопроводительная документация может включать:</w:t>
            </w:r>
          </w:p>
          <w:p w:rsidR="008F2753" w:rsidRDefault="008F2753" w:rsidP="008F2753">
            <w:pPr>
              <w:numPr>
                <w:ilvl w:val="0"/>
                <w:numId w:val="17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Доказательства осуществления корректировочных мер, определенных подразделением-партнером ООН, включая укрепление потенциала персонала.</w:t>
            </w:r>
          </w:p>
          <w:p w:rsidR="008F2753" w:rsidRDefault="008F2753" w:rsidP="008F2753">
            <w:pPr>
              <w:numPr>
                <w:ilvl w:val="0"/>
                <w:numId w:val="17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Конкретные меры по выявлению и снижению рисков СЭН при осуществлении программы.</w:t>
            </w:r>
          </w:p>
          <w:p w:rsidR="008F2753" w:rsidRDefault="008F2753" w:rsidP="008F2753">
            <w:pPr>
              <w:numPr>
                <w:ilvl w:val="0"/>
                <w:numId w:val="17"/>
              </w:numPr>
              <w:ind w:left="360"/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2"/>
                <w:szCs w:val="22"/>
              </w:rPr>
              <w:t>Иное (пожалуйста, уточните):</w:t>
            </w:r>
          </w:p>
          <w:p w:rsidR="008F2753" w:rsidRDefault="008F2753" w:rsidP="000D4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4" w:name="_GoBack"/>
      <w:bookmarkEnd w:id="4"/>
    </w:p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2753" w:rsidRDefault="008F2753">
      <w:pPr>
        <w:rPr>
          <w:rFonts w:ascii="Times New Roman" w:eastAsia="Times New Roman" w:hAnsi="Times New Roman" w:cs="Times New Roman"/>
          <w:sz w:val="22"/>
          <w:szCs w:val="22"/>
        </w:rPr>
        <w:sectPr w:rsidR="008F275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18A5" w:rsidRDefault="003E18A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143E6" w:rsidRDefault="00A143E6" w:rsidP="00A143E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143E6" w:rsidRDefault="00A143E6" w:rsidP="00A143E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143E6" w:rsidRDefault="00A143E6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A143E6">
      <w:type w:val="continuous"/>
      <w:pgSz w:w="12240" w:h="15840"/>
      <w:pgMar w:top="72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74" w:rsidRDefault="00D05374">
      <w:r>
        <w:separator/>
      </w:r>
    </w:p>
  </w:endnote>
  <w:endnote w:type="continuationSeparator" w:id="0">
    <w:p w:rsidR="00D05374" w:rsidRDefault="00D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A5" w:rsidRDefault="00D05374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 w:rsidR="001F675E">
      <w:fldChar w:fldCharType="separate"/>
    </w:r>
    <w:r w:rsidR="00DB47F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"/>
      <w:id w:val="-1927104256"/>
    </w:sdtPr>
    <w:sdtEndPr/>
    <w:sdtContent>
      <w:p w:rsidR="003E18A5" w:rsidRDefault="00D05374">
        <w:pPr>
          <w:jc w:val="right"/>
        </w:pPr>
        <w:r>
          <w:fldChar w:fldCharType="begin"/>
        </w:r>
        <w:r>
          <w:instrText>PAGE</w:instrText>
        </w:r>
        <w:r w:rsidR="001F675E">
          <w:fldChar w:fldCharType="separate"/>
        </w:r>
        <w:r w:rsidR="00DB47F9">
          <w:rPr>
            <w:noProof/>
          </w:rPr>
          <w:t>5</w:t>
        </w:r>
        <w:r>
          <w:fldChar w:fldCharType="end"/>
        </w:r>
        <w:sdt>
          <w:sdtPr>
            <w:tag w:val="goog_rdk_2"/>
            <w:id w:val="1812828893"/>
          </w:sdtPr>
          <w:sdtEndPr/>
          <w:sdtContent/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"/>
      <w:id w:val="-435063060"/>
    </w:sdtPr>
    <w:sdtEndPr/>
    <w:sdtContent>
      <w:p w:rsidR="003E18A5" w:rsidRDefault="00D05374">
        <w:pPr>
          <w:jc w:val="right"/>
        </w:pPr>
        <w:r>
          <w:fldChar w:fldCharType="begin"/>
        </w:r>
        <w:r>
          <w:instrText>PAGE</w:instrText>
        </w:r>
        <w:r w:rsidR="001F675E">
          <w:fldChar w:fldCharType="separate"/>
        </w:r>
        <w:r w:rsidR="00DB47F9">
          <w:rPr>
            <w:noProof/>
          </w:rPr>
          <w:t>13</w:t>
        </w:r>
        <w:r>
          <w:fldChar w:fldCharType="end"/>
        </w:r>
        <w:sdt>
          <w:sdtPr>
            <w:tag w:val="goog_rdk_0"/>
            <w:id w:val="-1847775311"/>
          </w:sdtPr>
          <w:sdtEndPr/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74" w:rsidRDefault="00D05374">
      <w:r>
        <w:separator/>
      </w:r>
    </w:p>
  </w:footnote>
  <w:footnote w:type="continuationSeparator" w:id="0">
    <w:p w:rsidR="00D05374" w:rsidRDefault="00D05374">
      <w:r>
        <w:continuationSeparator/>
      </w:r>
    </w:p>
  </w:footnote>
  <w:footnote w:id="1">
    <w:p w:rsidR="008F2753" w:rsidRDefault="008F2753" w:rsidP="008F2753">
      <w:pPr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t xml:space="preserve"> Термин «связанный с ней персонал» включает, например, субподрядчиков, консультантов, стажеров или добровольцев и иных лиц, связанных с партнером или работающих от его имени.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2B3"/>
    <w:multiLevelType w:val="multilevel"/>
    <w:tmpl w:val="5310E6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762D9F"/>
    <w:multiLevelType w:val="multilevel"/>
    <w:tmpl w:val="E37001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76488E"/>
    <w:multiLevelType w:val="multilevel"/>
    <w:tmpl w:val="64D80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FA30B2"/>
    <w:multiLevelType w:val="multilevel"/>
    <w:tmpl w:val="D40EAE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7009D7"/>
    <w:multiLevelType w:val="multilevel"/>
    <w:tmpl w:val="52562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AA4296B"/>
    <w:multiLevelType w:val="multilevel"/>
    <w:tmpl w:val="774C02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B2C23CF"/>
    <w:multiLevelType w:val="multilevel"/>
    <w:tmpl w:val="D0E681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0016FB9"/>
    <w:multiLevelType w:val="multilevel"/>
    <w:tmpl w:val="95207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CE1D9C"/>
    <w:multiLevelType w:val="multilevel"/>
    <w:tmpl w:val="5550311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2565D26"/>
    <w:multiLevelType w:val="multilevel"/>
    <w:tmpl w:val="74F2D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C066ED"/>
    <w:multiLevelType w:val="multilevel"/>
    <w:tmpl w:val="AB2C2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EA0CF0"/>
    <w:multiLevelType w:val="multilevel"/>
    <w:tmpl w:val="00EEF1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81143A5"/>
    <w:multiLevelType w:val="multilevel"/>
    <w:tmpl w:val="B22E022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D06707F"/>
    <w:multiLevelType w:val="multilevel"/>
    <w:tmpl w:val="2D6C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9F2291C"/>
    <w:multiLevelType w:val="multilevel"/>
    <w:tmpl w:val="A322F5B2"/>
    <w:lvl w:ilvl="0">
      <w:start w:val="1"/>
      <w:numFmt w:val="bullet"/>
      <w:lvlText w:val="●"/>
      <w:lvlJc w:val="left"/>
      <w:pPr>
        <w:ind w:left="785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A336B64"/>
    <w:multiLevelType w:val="multilevel"/>
    <w:tmpl w:val="405437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06D600C"/>
    <w:multiLevelType w:val="multilevel"/>
    <w:tmpl w:val="DBBA02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6E6FDD"/>
    <w:multiLevelType w:val="multilevel"/>
    <w:tmpl w:val="8E62C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EF42FA"/>
    <w:multiLevelType w:val="multilevel"/>
    <w:tmpl w:val="702A6C7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B983815"/>
    <w:multiLevelType w:val="multilevel"/>
    <w:tmpl w:val="5BAC7280"/>
    <w:lvl w:ilvl="0">
      <w:start w:val="1"/>
      <w:numFmt w:val="bullet"/>
      <w:lvlText w:val="●"/>
      <w:lvlJc w:val="left"/>
      <w:pPr>
        <w:ind w:left="-9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63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5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7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79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1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3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5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70" w:firstLine="612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9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13"/>
  </w:num>
  <w:num w:numId="10">
    <w:abstractNumId w:val="14"/>
  </w:num>
  <w:num w:numId="11">
    <w:abstractNumId w:val="6"/>
  </w:num>
  <w:num w:numId="12">
    <w:abstractNumId w:val="18"/>
  </w:num>
  <w:num w:numId="13">
    <w:abstractNumId w:val="8"/>
  </w:num>
  <w:num w:numId="14">
    <w:abstractNumId w:val="0"/>
  </w:num>
  <w:num w:numId="15">
    <w:abstractNumId w:val="15"/>
  </w:num>
  <w:num w:numId="16">
    <w:abstractNumId w:val="2"/>
  </w:num>
  <w:num w:numId="17">
    <w:abstractNumId w:val="11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A5"/>
    <w:rsid w:val="001F675E"/>
    <w:rsid w:val="002D2E30"/>
    <w:rsid w:val="003E18A5"/>
    <w:rsid w:val="008F2753"/>
    <w:rsid w:val="00A143E6"/>
    <w:rsid w:val="00D05374"/>
    <w:rsid w:val="00D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80D1"/>
  <w15:docId w15:val="{1B90D1E4-69C0-464B-970E-26FA34A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55A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AD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8F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8F5"/>
    <w:rPr>
      <w:rFonts w:ascii="Consolas" w:hAnsi="Consolas"/>
    </w:rPr>
  </w:style>
  <w:style w:type="table" w:customStyle="1" w:styleId="TableGrid1">
    <w:name w:val="Table Grid1"/>
    <w:basedOn w:val="TableNormal"/>
    <w:next w:val="TableGrid"/>
    <w:uiPriority w:val="39"/>
    <w:rsid w:val="00206F4B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"/>
    <w:basedOn w:val="Normal"/>
    <w:link w:val="NormalWebChar"/>
    <w:uiPriority w:val="99"/>
    <w:unhideWhenUsed/>
    <w:qFormat/>
    <w:rsid w:val="00BA6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Char"/>
    <w:link w:val="NormalWeb"/>
    <w:uiPriority w:val="99"/>
    <w:rsid w:val="00BA6CDA"/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nfpa.org/sites/default/files/pub-pdf/programme_of_action_Web%20ENGLISH.pdf" TargetMode="External"/><Relationship Id="rId18" Type="http://schemas.openxmlformats.org/officeDocument/2006/relationships/hyperlink" Target="https://unfpa.zoom.us/j/8697071955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fpa.org/sites/default/files/board-documents/main-document/DP.FPA_.2021.8_-_UNFPA_strategic_plan_2022-2025_-_FINAL_-_14Jul21_-_Corrected_19Jul2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unpartnerportalhelpcenter.zendesk.com/hc/en-us/categories/360003671653-UNFPA-Partnership-Guideli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yrova@unfp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partnerportal.org/" TargetMode="External"/><Relationship Id="rId10" Type="http://schemas.openxmlformats.org/officeDocument/2006/relationships/hyperlink" Target="http://compose/?To=PROCUREMENT_KYRGYZSTAN@unfpa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enders_kyrgyzstan@unfpa.org" TargetMode="External"/><Relationship Id="rId14" Type="http://schemas.openxmlformats.org/officeDocument/2006/relationships/hyperlink" Target="https://www.unfpa.org/sites/default/files/portal-document/DP.FPA_.CPD_.KGZ_.5%20-%20Kyrgyzstan%20CPD%20-%20Final%20-%205Jul22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ljog/h+hD9RRSkY5Sxr44od9g==">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Elzat Nasyrova</cp:lastModifiedBy>
  <cp:revision>4</cp:revision>
  <dcterms:created xsi:type="dcterms:W3CDTF">2022-11-16T09:58:00Z</dcterms:created>
  <dcterms:modified xsi:type="dcterms:W3CDTF">2022-11-23T09:19:00Z</dcterms:modified>
</cp:coreProperties>
</file>