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tabs>
          <w:tab w:val="left" w:pos="426"/>
          <w:tab w:val="left" w:pos="1134"/>
        </w:tabs>
        <w:spacing w:before="0" w:lineRule="auto"/>
        <w:ind w:left="1134" w:hanging="113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(to be issued by UNFPA)</w:t>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qualified organizations to submit proposals for the implementation of the Shared prosperity through cooperation in border regions of Kyrgyzstan and Uzbekistan. Specifically, activities comprise the parts on empowering women and youth through building trust and confidence and better interaction on collaborative platforms in cross border villages of Uzbekistan and Kyrgyzstan.</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for prospective partnership with UNFPA Kyrgyzstan Country Office - Cross-border project to support achievement of results outlined in the section 1.3 below.</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clearly marked </w:t>
            </w:r>
            <w:r w:rsidDel="00000000" w:rsidR="00000000" w:rsidRPr="00000000">
              <w:rPr>
                <w:rFonts w:ascii="Times New Roman" w:cs="Times New Roman" w:eastAsia="Times New Roman" w:hAnsi="Times New Roman"/>
                <w:sz w:val="24"/>
                <w:szCs w:val="24"/>
                <w:rtl w:val="0"/>
              </w:rPr>
              <w:t xml:space="preserve">“IFP on Cross Border project”</w:t>
            </w:r>
            <w:r w:rsidDel="00000000" w:rsidR="00000000" w:rsidRPr="00000000">
              <w:rPr>
                <w:rFonts w:ascii="Times New Roman" w:cs="Times New Roman" w:eastAsia="Times New Roman" w:hAnsi="Times New Roman"/>
                <w:sz w:val="24"/>
                <w:szCs w:val="24"/>
                <w:rtl w:val="0"/>
              </w:rPr>
              <w:t xml:space="preserve"> at the following address:</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Kyrgyzstan mailing address/email address: </w:t>
            </w:r>
            <w:hyperlink r:id="rId8">
              <w:r w:rsidDel="00000000" w:rsidR="00000000" w:rsidRPr="00000000">
                <w:rPr>
                  <w:rFonts w:ascii="Times New Roman" w:cs="Times New Roman" w:eastAsia="Times New Roman" w:hAnsi="Times New Roman"/>
                  <w:color w:val="0563c1"/>
                  <w:sz w:val="24"/>
                  <w:szCs w:val="24"/>
                  <w:u w:val="single"/>
                  <w:rtl w:val="0"/>
                </w:rPr>
                <w:t xml:space="preserve">tenders_kyrgyzstan@unfpa.org</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By 17.00 (Bishkek time) 18 March 2022.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must be submitted in </w:t>
            </w:r>
            <w:r w:rsidDel="00000000" w:rsidR="00000000" w:rsidRPr="00000000">
              <w:rPr>
                <w:rFonts w:ascii="Times New Roman" w:cs="Times New Roman" w:eastAsia="Times New Roman" w:hAnsi="Times New Roman"/>
                <w:b w:val="1"/>
                <w:sz w:val="24"/>
                <w:szCs w:val="24"/>
                <w:rtl w:val="0"/>
              </w:rPr>
              <w:t xml:space="preserve">Russian and English languages.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sent in writing no later than 3 March 17.00 to the e-mail: </w:t>
            </w:r>
            <w:hyperlink r:id="rId9">
              <w:r w:rsidDel="00000000" w:rsidR="00000000" w:rsidRPr="00000000">
                <w:rPr>
                  <w:rFonts w:ascii="Times New Roman" w:cs="Times New Roman" w:eastAsia="Times New Roman" w:hAnsi="Times New Roman"/>
                  <w:color w:val="0563c1"/>
                  <w:sz w:val="24"/>
                  <w:szCs w:val="24"/>
                  <w:u w:val="single"/>
                  <w:rtl w:val="0"/>
                </w:rPr>
                <w:t xml:space="preserve">PROCUREMENT_KYRGYZSTAN@unfpa.org</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Following online consultations (scheduled for 4 March), UNFPA will respond by email to any questions or requests for clarification submitted by the deadline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10">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w:t>
            </w:r>
          </w:p>
        </w:tc>
        <w:tc>
          <w:tcPr>
            <w:tcBorders>
              <w:left w:color="bdd7ee" w:space="0" w:sz="6" w:val="single"/>
            </w:tcBorders>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lead UN agency for delivering a world where every pregnancy is wanted, every birth is safe, and every young person's potential is fulfilled.</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Kyrgyzstan</w:t>
            </w:r>
          </w:p>
        </w:tc>
        <w:tc>
          <w:tcPr>
            <w:tcBorders>
              <w:left w:color="bdd7ee" w:space="0" w:sz="6" w:val="single"/>
              <w:bottom w:color="ffffff" w:space="0" w:sz="6" w:val="single"/>
            </w:tcBorders>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Kyrgyzstan Country Office, UNFPA works with the government and other partners to achieve the overall goal of CPD 2018-2022 with perspective over the next programme cycle.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hyperlink r:id="rId11">
              <w:r w:rsidDel="00000000" w:rsidR="00000000" w:rsidRPr="00000000">
                <w:rPr>
                  <w:rFonts w:ascii="Times New Roman" w:cs="Times New Roman" w:eastAsia="Times New Roman" w:hAnsi="Times New Roman"/>
                  <w:color w:val="0563c1"/>
                  <w:sz w:val="24"/>
                  <w:szCs w:val="24"/>
                  <w:u w:val="single"/>
                  <w:rtl w:val="0"/>
                </w:rPr>
                <w:t xml:space="preserve">http://</w:t>
              </w:r>
            </w:hyperlink>
            <w:r w:rsidDel="00000000" w:rsidR="00000000" w:rsidRPr="00000000">
              <w:rPr>
                <w:rtl w:val="0"/>
              </w:rPr>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kyrgyzstan.unfpa.org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Kyrgyzstan works with the government and other partners to reach an overall goal and uses a comprehensive approach in addressing women and youth needs in SRHR/GBV. It takes technical leadership in the frame of the UN Youth Thematic Group to support the Government in implementation of youth related initiatives at policy and advocacy levels.</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framework and as set out in 2018-2022 working with government and other partners, UNFPA will contribute to achieve the following results:</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UNFPA Kyrgyzstan CPD </w:t>
            </w:r>
            <w:r w:rsidDel="00000000" w:rsidR="00000000" w:rsidRPr="00000000">
              <w:rPr>
                <w:rFonts w:ascii="Times New Roman" w:cs="Times New Roman" w:eastAsia="Times New Roman" w:hAnsi="Times New Roman"/>
                <w:sz w:val="24"/>
                <w:szCs w:val="24"/>
                <w:rtl w:val="0"/>
              </w:rPr>
              <w:t xml:space="preserve">Output 3: Strengthened national capacity to promote the rights of women and adolescent girls with focus on prevention and response to gender based violence in the development and humanitarian context.</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project is aimed at establishing interest-based cooperation between Kyrgyzstan and Uzbekistan to prevent and mitigate the risk of conflicts. Lessons learned from the previous programming in border areas showed that cooperation of people around concrete joint interests, like trade, farming, employment, economic cooperation brings more durable and sustainable peacebuilding results. Therefore, this project will connect Kyrgyzstan and Uzbekistan by enhancing economic cooperation through climate-smart agricultural development between the countries, as well as enhancing the role of women and youth as key peace agents. The project also addresses the strategic gap of working at peace and climate nexus in border areas. By supporting climate-smart agricultural practices, the project contributes to water saving, thereby improving the resilience of communities to resource-driven conflicts, climate change and disasters, making them benefit from increasingly sustainable and gender-sensitive efficient management of natural resources, robust climate action, inclusive environmental governance, and protection.  Key areas, where the project focuses on are: </w:t>
              <w:tab/>
            </w:r>
          </w:p>
          <w:p w:rsidR="00000000" w:rsidDel="00000000" w:rsidP="00000000" w:rsidRDefault="00000000" w:rsidRPr="00000000" w14:paraId="00000023">
            <w:pPr>
              <w:numPr>
                <w:ilvl w:val="0"/>
                <w:numId w:val="8"/>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Cross-border connectivity</w:t>
            </w:r>
            <w:r w:rsidDel="00000000" w:rsidR="00000000" w:rsidRPr="00000000">
              <w:rPr>
                <w:rtl w:val="0"/>
              </w:rPr>
            </w:r>
          </w:p>
          <w:p w:rsidR="00000000" w:rsidDel="00000000" w:rsidP="00000000" w:rsidRDefault="00000000" w:rsidRPr="00000000" w14:paraId="00000024">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Focus on Socio-economic Strengthening</w:t>
            </w:r>
            <w:r w:rsidDel="00000000" w:rsidR="00000000" w:rsidRPr="00000000">
              <w:rPr>
                <w:rtl w:val="0"/>
              </w:rPr>
            </w:r>
          </w:p>
          <w:p w:rsidR="00000000" w:rsidDel="00000000" w:rsidP="00000000" w:rsidRDefault="00000000" w:rsidRPr="00000000" w14:paraId="00000025">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Inclusive Bottom-Up Approach</w:t>
            </w:r>
            <w:r w:rsidDel="00000000" w:rsidR="00000000" w:rsidRPr="00000000">
              <w:rPr>
                <w:rtl w:val="0"/>
              </w:rPr>
            </w:r>
          </w:p>
          <w:p w:rsidR="00000000" w:rsidDel="00000000" w:rsidP="00000000" w:rsidRDefault="00000000" w:rsidRPr="00000000" w14:paraId="00000026">
            <w:pPr>
              <w:numPr>
                <w:ilvl w:val="0"/>
                <w:numId w:val="8"/>
              </w:numPr>
              <w:spacing w:after="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Intersectional and Nexus Approach</w:t>
            </w:r>
            <w:r w:rsidDel="00000000" w:rsidR="00000000" w:rsidRPr="00000000">
              <w:rPr>
                <w:rtl w:val="0"/>
              </w:rPr>
            </w:r>
          </w:p>
          <w:p w:rsidR="00000000" w:rsidDel="00000000" w:rsidP="00000000" w:rsidRDefault="00000000" w:rsidRPr="00000000" w14:paraId="00000027">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project will work with young women and men in the border communities to improve social cohesion through behavior change and confidence building to empower women (29-58 years) and girls (18-28 years) with support from men and boys (MenEngage approach). Thus, the project will contribute to creating a pro-peace environment that will be boosted by tangible economic and livelihood opportunities, crucial to prevent cross-border tensions.</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project is intersectional, working at the nexus of peacebuilding, climate change, poverty alleviation and women empowerment. It will tap on existing solutions/expertise and resources of local CSOs and community residents who are increasingly recognized as important and diverse actors in risk mitigation. Local authorities will be engaged through all project components and their capacities will be built to strengthen their role in promoting innovative resource-efficient and climate-smart agricultural technologies and practices through review of local development plans and making them gender-sensitive and thus, make optimal use of existing resources and search for mutually beneficial solutions for livelihoods across both sides of the border. </w:t>
            </w:r>
          </w:p>
          <w:p w:rsidR="00000000" w:rsidDel="00000000" w:rsidP="00000000" w:rsidRDefault="00000000" w:rsidRPr="00000000" w14:paraId="00000029">
            <w:pPr>
              <w:spacing w:after="240" w:befor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Key outputs to be considered while preparing the proposals are:</w:t>
            </w:r>
            <w:r w:rsidDel="00000000" w:rsidR="00000000" w:rsidRPr="00000000">
              <w:rPr>
                <w:rtl w:val="0"/>
              </w:rPr>
            </w:r>
          </w:p>
          <w:p w:rsidR="00000000" w:rsidDel="00000000" w:rsidP="00000000" w:rsidRDefault="00000000" w:rsidRPr="00000000" w14:paraId="0000002A">
            <w:pPr>
              <w:spacing w:after="240" w:before="240" w:lineRule="auto"/>
              <w:ind w:left="20" w:right="3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Addressing the multidimensional drivers of conflict by promoting equitable access to services, building upon, or establishing local mechanisms for inter-group dialogue and cooperation, and expanding livelihood opportunities—especially for youth and women —will enhance the confidence of beneficiaries (SHGs), local authorities and entrepreneurs within and between border communities, and reduce internal and cross-border conflict</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the skills building, in Kyrgyzstan and Uzbekistan, the project will link youth and women entrepreneurs (including Self-Help Groups) with potential investors and financial institutions, which have started to support youth and women in the framework of state instructions/government priorities and corporate social responsibility policies (fair business concepts). The project will engage private investors to ensure the sustainability of enterprises that create platforms uniting youth and women striving for a common goal. In addition, the most successful projects of SHGs will be provided with equipment (by the project) to expand the business - focusing on marketing and processing. </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the project duration, groups of youth and women beneficiaries will meet regularly, exchange experience, as well as connect their business, enhancing trade between communities and countries.</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Within the given Invitation for Proposals, UNFPA Kyrgyzstan Country Office is expecting to receive proposals from experienced civil society agencies with a specific list of activities to reach the goals indicated with respective indicators</w:t>
            </w:r>
            <w:r w:rsidDel="00000000" w:rsidR="00000000" w:rsidRPr="00000000">
              <w:rPr>
                <w:rtl w:val="0"/>
              </w:rPr>
            </w:r>
          </w:p>
        </w:tc>
      </w:tr>
      <w:tr>
        <w:trPr>
          <w:cantSplit w:val="0"/>
          <w:trHeight w:val="20" w:hRule="atLeast"/>
          <w:tblHeader w:val="0"/>
        </w:trPr>
        <w:tc>
          <w:tcPr>
            <w:tcBorders>
              <w:right w:color="ffffff" w:space="0" w:sz="6" w:val="single"/>
            </w:tcBorders>
            <w:shd w:fill="d9d9d9" w:val="clear"/>
          </w:tcPr>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Specific results</w:t>
            </w:r>
          </w:p>
        </w:tc>
        <w:tc>
          <w:tcPr>
            <w:tcBorders>
              <w:top w:color="ffffff" w:space="0" w:sz="6" w:val="single"/>
              <w:left w:color="ffffff" w:space="0" w:sz="6" w:val="single"/>
              <w:bottom w:color="ffffff" w:space="0" w:sz="6" w:val="single"/>
              <w:right w:color="ffffff" w:space="0" w:sz="6" w:val="single"/>
            </w:tcBorders>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framework UNFPA will contribute to achieve the following results:</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Output 1. Youth and women have the capacity and tools to serve as connectors between Uzbekistan and Kyrgyzstan</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Expected results for women’s groups:</w:t>
            </w:r>
          </w:p>
          <w:p w:rsidR="00000000" w:rsidDel="00000000" w:rsidP="00000000" w:rsidRDefault="00000000" w:rsidRPr="00000000" w14:paraId="00000032">
            <w:pPr>
              <w:spacing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highlight w:val="white"/>
                <w:rtl w:val="0"/>
              </w:rPr>
              <w:t xml:space="preserve">Women (Self-Help Groups) are equipped with knowledge on how to establi</w:t>
            </w:r>
            <w:r w:rsidDel="00000000" w:rsidR="00000000" w:rsidRPr="00000000">
              <w:rPr>
                <w:rFonts w:ascii="Times New Roman" w:cs="Times New Roman" w:eastAsia="Times New Roman" w:hAnsi="Times New Roman"/>
                <w:sz w:val="24"/>
                <w:szCs w:val="24"/>
                <w:rtl w:val="0"/>
              </w:rPr>
              <w:t xml:space="preserve">sh and expand their businesses, including financial literacy and access to credit (digital skills, national taxation and social systems requirement and reporting, standards, regulations and requirements for export and imports within the EAEU/Uzbekistan, obtaining permits, licenses and quality certificates, value-chain, etc.) -  up to $35,000</w:t>
            </w:r>
          </w:p>
          <w:p w:rsidR="00000000" w:rsidDel="00000000" w:rsidP="00000000" w:rsidRDefault="00000000" w:rsidRPr="00000000" w14:paraId="00000033">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Mentoring and advocacy initiatives with focus on women including SHGs, based on the MenEngage approach are carried out to build knowledge and awareness on gender equality, family planning, male involvement, family budgeting and access to services and information - up to $40,000</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Indicators of achievement for women’s groups:</w:t>
            </w:r>
          </w:p>
          <w:p w:rsidR="00000000" w:rsidDel="00000000" w:rsidP="00000000" w:rsidRDefault="00000000" w:rsidRPr="00000000" w14:paraId="00000035">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Proportion of women reporting empowerment support from male community members as part of MenEngage programme. Baseline: 0; Target: one third of women participating in the project</w:t>
            </w:r>
          </w:p>
          <w:p w:rsidR="00000000" w:rsidDel="00000000" w:rsidP="00000000" w:rsidRDefault="00000000" w:rsidRPr="00000000" w14:paraId="00000036">
            <w:pPr>
              <w:numPr>
                <w:ilvl w:val="0"/>
                <w:numId w:val="9"/>
              </w:numPr>
              <w:spacing w:after="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cross-border sustainable business project plans between SHGs as a result of joint meetings of SHGs between Kyrgyzstan and Uzbekistan. Baseline: TBD; Target: at least 10 business plans.  </w:t>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Output 2. Economic cooperation between border communities strengthened through women-led innovative entrepreneurship development programmes;</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Expected results for women’s groups:</w:t>
            </w:r>
          </w:p>
          <w:p w:rsidR="00000000" w:rsidDel="00000000" w:rsidP="00000000" w:rsidRDefault="00000000" w:rsidRPr="00000000" w14:paraId="0000003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Accelerator programme for women within targeted communities. Details to be covered:</w:t>
            </w:r>
          </w:p>
          <w:p w:rsidR="00000000" w:rsidDel="00000000" w:rsidP="00000000" w:rsidRDefault="00000000" w:rsidRPr="00000000" w14:paraId="0000003A">
            <w:pPr>
              <w:spacing w:after="240" w:before="240" w:lineRule="auto"/>
              <w:ind w:left="9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Development of business projects and awarding the most innovative and promising entrepreneurship initiatives among women - up to $25,000</w:t>
            </w:r>
          </w:p>
          <w:p w:rsidR="00000000" w:rsidDel="00000000" w:rsidP="00000000" w:rsidRDefault="00000000" w:rsidRPr="00000000" w14:paraId="0000003B">
            <w:pPr>
              <w:spacing w:after="240" w:before="240" w:lineRule="auto"/>
              <w:ind w:left="9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Establishment of exchange of experience, enhancing trade, and networking on mutually beneficial cooperation among women entrepreneurs from Kyrgyzstan and Uzbekistan in cross border areas including: youth and women farmers, local authorities, businesses, financial, education and research institutions, and civil society organizations for sustainable, inclusi</w:t>
            </w:r>
            <w:r w:rsidDel="00000000" w:rsidR="00000000" w:rsidRPr="00000000">
              <w:rPr>
                <w:rFonts w:ascii="Times New Roman" w:cs="Times New Roman" w:eastAsia="Times New Roman" w:hAnsi="Times New Roman"/>
                <w:sz w:val="24"/>
                <w:szCs w:val="24"/>
                <w:rtl w:val="0"/>
              </w:rPr>
              <w:t xml:space="preserve">ve and equitable climate-smart agriculture transformation and network/cooperation with Uzbekistan institutions and businesses - up to $25,000</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Indicators of achievement for women groups:</w:t>
            </w:r>
          </w:p>
          <w:p w:rsidR="00000000" w:rsidDel="00000000" w:rsidP="00000000" w:rsidRDefault="00000000" w:rsidRPr="00000000" w14:paraId="0000003D">
            <w:pPr>
              <w:spacing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2.1 - Number of</w:t>
            </w:r>
            <w:r w:rsidDel="00000000" w:rsidR="00000000" w:rsidRPr="00000000">
              <w:rPr>
                <w:rFonts w:ascii="Times New Roman" w:cs="Times New Roman" w:eastAsia="Times New Roman" w:hAnsi="Times New Roman"/>
                <w:b w:val="1"/>
                <w:sz w:val="24"/>
                <w:szCs w:val="24"/>
                <w:rtl w:val="0"/>
              </w:rPr>
              <w:t xml:space="preserve"> young women</w:t>
            </w:r>
            <w:r w:rsidDel="00000000" w:rsidR="00000000" w:rsidRPr="00000000">
              <w:rPr>
                <w:rFonts w:ascii="Times New Roman" w:cs="Times New Roman" w:eastAsia="Times New Roman" w:hAnsi="Times New Roman"/>
                <w:sz w:val="24"/>
                <w:szCs w:val="24"/>
                <w:rtl w:val="0"/>
              </w:rPr>
              <w:t xml:space="preserve"> reporting improved income generating skills as part of acceleration programme (including portfolio created in the marketplace): Baseline: 0; Target: at least 20 participants</w:t>
            </w:r>
          </w:p>
          <w:p w:rsidR="00000000" w:rsidDel="00000000" w:rsidP="00000000" w:rsidRDefault="00000000" w:rsidRPr="00000000" w14:paraId="0000003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2.2. - Number of cross-border entrepreneurship initiatives supported through small grant facilities. Baseline: 0; Target: at least 10 initiatives in two countries that have started or increased generating income thanks to equipment purchased and disseminated</w:t>
            </w:r>
          </w:p>
          <w:p w:rsidR="00000000" w:rsidDel="00000000" w:rsidP="00000000" w:rsidRDefault="00000000" w:rsidRPr="00000000" w14:paraId="0000004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2.3 - Number of business plans by acceleration program participants supported by investors and financial institutions. Baseline: 0; Target: at least 3</w:t>
            </w:r>
          </w:p>
          <w:p w:rsidR="00000000" w:rsidDel="00000000" w:rsidP="00000000" w:rsidRDefault="00000000" w:rsidRPr="00000000" w14:paraId="00000042">
            <w:pPr>
              <w:spacing w:after="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2.4 - Number of women-led entrepreneurs engaged in collaborative exchanges (platforms) between Kyrgyzstan and Uzbekistan (acceleration exchange programmes; agro-fairs and handicraft festivals, exhibitions, etc.). Baseline: 0; Target: at least 250 in each country</w:t>
            </w:r>
          </w:p>
          <w:p w:rsidR="00000000" w:rsidDel="00000000" w:rsidP="00000000" w:rsidRDefault="00000000" w:rsidRPr="00000000" w14:paraId="00000044">
            <w:pPr>
              <w:spacing w:after="240" w:lineRule="auto"/>
              <w:jc w:val="both"/>
              <w:rPr>
                <w:color w:val="000000"/>
                <w:sz w:val="22"/>
                <w:szCs w:val="22"/>
              </w:rPr>
            </w:pPr>
            <w:r w:rsidDel="00000000" w:rsidR="00000000" w:rsidRPr="00000000">
              <w:rPr>
                <w:rFonts w:ascii="Times New Roman" w:cs="Times New Roman" w:eastAsia="Times New Roman" w:hAnsi="Times New Roman"/>
                <w:sz w:val="24"/>
                <w:szCs w:val="24"/>
                <w:rtl w:val="0"/>
              </w:rPr>
              <w:t xml:space="preserve">Output 3. Economic cooperation between border communities strengthened through youth-led innovative entrepreneurship development programmes;</w:t>
            </w:r>
            <w:r w:rsidDel="00000000" w:rsidR="00000000" w:rsidRPr="00000000">
              <w:rPr>
                <w:rtl w:val="0"/>
              </w:rPr>
            </w:r>
          </w:p>
          <w:p w:rsidR="00000000" w:rsidDel="00000000" w:rsidP="00000000" w:rsidRDefault="00000000" w:rsidRPr="00000000" w14:paraId="00000045">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Accelerator programme for youth within targeted communities. Details to be covered:</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Expected results for youth groups:</w:t>
            </w:r>
          </w:p>
          <w:p w:rsidR="00000000" w:rsidDel="00000000" w:rsidP="00000000" w:rsidRDefault="00000000" w:rsidRPr="00000000" w14:paraId="00000047">
            <w:pPr>
              <w:spacing w:after="240" w:before="24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Development of business projects and awarding the most innovative and promising entrepreneurship initiatives among youth - up to $25,000</w:t>
            </w:r>
          </w:p>
          <w:p w:rsidR="00000000" w:rsidDel="00000000" w:rsidP="00000000" w:rsidRDefault="00000000" w:rsidRPr="00000000" w14:paraId="00000048">
            <w:pPr>
              <w:spacing w:after="240" w:before="24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Establishment of exchange of experience, enhancing trade, and networking on mutually beneficial cooperation among young entrepreneurs from Kyrgyzstan and Uzbekistan in cross border areas including: youth and women farmers, local authorities, businesses, financial, education and research institutions, and civil society organizations for sustainable, inclusive and equitable climate-smart agriculture transformation and network/cooperation with Uzbekistan institutions and businesses - up to $25,000</w:t>
            </w:r>
          </w:p>
          <w:p w:rsidR="00000000" w:rsidDel="00000000" w:rsidP="00000000" w:rsidRDefault="00000000" w:rsidRPr="00000000" w14:paraId="00000049">
            <w:pPr>
              <w:spacing w:after="240" w:before="24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Agro-Hackathon is organized to collect best IT solutions to increase the efficiency of agro-production and processing - up to $70 000</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Ind</w:t>
            </w:r>
            <w:r w:rsidDel="00000000" w:rsidR="00000000" w:rsidRPr="00000000">
              <w:rPr>
                <w:rFonts w:ascii="Times New Roman" w:cs="Times New Roman" w:eastAsia="Times New Roman" w:hAnsi="Times New Roman"/>
                <w:b w:val="1"/>
                <w:sz w:val="24"/>
                <w:szCs w:val="24"/>
                <w:rtl w:val="0"/>
              </w:rPr>
              <w:t xml:space="preserve">icators of achievement for youth groups:</w:t>
            </w:r>
          </w:p>
          <w:p w:rsidR="00000000" w:rsidDel="00000000" w:rsidP="00000000" w:rsidRDefault="00000000" w:rsidRPr="00000000" w14:paraId="0000004B">
            <w:pPr>
              <w:spacing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3.1 - Number of </w:t>
            </w:r>
            <w:r w:rsidDel="00000000" w:rsidR="00000000" w:rsidRPr="00000000">
              <w:rPr>
                <w:rFonts w:ascii="Times New Roman" w:cs="Times New Roman" w:eastAsia="Times New Roman" w:hAnsi="Times New Roman"/>
                <w:b w:val="1"/>
                <w:sz w:val="24"/>
                <w:szCs w:val="24"/>
                <w:rtl w:val="0"/>
              </w:rPr>
              <w:t xml:space="preserve">young people </w:t>
            </w:r>
            <w:r w:rsidDel="00000000" w:rsidR="00000000" w:rsidRPr="00000000">
              <w:rPr>
                <w:rFonts w:ascii="Times New Roman" w:cs="Times New Roman" w:eastAsia="Times New Roman" w:hAnsi="Times New Roman"/>
                <w:sz w:val="24"/>
                <w:szCs w:val="24"/>
                <w:rtl w:val="0"/>
              </w:rPr>
              <w:t xml:space="preserve">reporting improved income generating skills as part of acceleration programme (including portfolio created in the marketplace) (14-28 years old): Baseline: 0; Target: at least 20 participants</w:t>
            </w:r>
          </w:p>
          <w:p w:rsidR="00000000" w:rsidDel="00000000" w:rsidP="00000000" w:rsidRDefault="00000000" w:rsidRPr="00000000" w14:paraId="0000004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3.2. - Number of cross-border entrepreneurship initiatives supported through small grant facilities. Baseline: 0; Target: at least 10 initiatives in two countries that have started or increased generating income thanks to equipment purchased and disseminated</w:t>
            </w:r>
          </w:p>
          <w:p w:rsidR="00000000" w:rsidDel="00000000" w:rsidP="00000000" w:rsidRDefault="00000000" w:rsidRPr="00000000" w14:paraId="0000004E">
            <w:pPr>
              <w:ind w:left="0" w:firstLine="0"/>
              <w:jc w:val="both"/>
              <w:rPr>
                <w:rFonts w:ascii="Times New Roman" w:cs="Times New Roman" w:eastAsia="Times New Roman" w:hAnsi="Times New Roman"/>
                <w:sz w:val="24"/>
                <w:szCs w:val="24"/>
              </w:rPr>
            </w:pPr>
            <w:bookmarkStart w:colFirst="0" w:colLast="0" w:name="_heading=h.gjdgxs" w:id="2"/>
            <w:bookmarkEnd w:id="2"/>
            <w:r w:rsidDel="00000000" w:rsidR="00000000" w:rsidRPr="00000000">
              <w:rPr>
                <w:rtl w:val="0"/>
              </w:rPr>
            </w:r>
          </w:p>
          <w:p w:rsidR="00000000" w:rsidDel="00000000" w:rsidP="00000000" w:rsidRDefault="00000000" w:rsidRPr="00000000" w14:paraId="0000004F">
            <w:pPr>
              <w:ind w:left="0" w:firstLine="0"/>
              <w:jc w:val="both"/>
              <w:rPr>
                <w:rFonts w:ascii="Times New Roman" w:cs="Times New Roman" w:eastAsia="Times New Roman" w:hAnsi="Times New Roman"/>
                <w:sz w:val="24"/>
                <w:szCs w:val="24"/>
              </w:rPr>
            </w:pPr>
            <w:bookmarkStart w:colFirst="0" w:colLast="0" w:name="_heading=h.ge933iq6u39z" w:id="3"/>
            <w:bookmarkEnd w:id="3"/>
            <w:r w:rsidDel="00000000" w:rsidR="00000000" w:rsidRPr="00000000">
              <w:rPr>
                <w:rFonts w:ascii="Times New Roman" w:cs="Times New Roman" w:eastAsia="Times New Roman" w:hAnsi="Times New Roman"/>
                <w:sz w:val="24"/>
                <w:szCs w:val="24"/>
                <w:rtl w:val="0"/>
              </w:rPr>
              <w:t xml:space="preserve">Output Indicator 3.3 - Number of business plans by acceleration program participants supported by investors and financial institutions. Baseline: 0; Target: at least 3</w:t>
            </w:r>
          </w:p>
          <w:p w:rsidR="00000000" w:rsidDel="00000000" w:rsidP="00000000" w:rsidRDefault="00000000" w:rsidRPr="00000000" w14:paraId="0000005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3.4 - Number of youth-led entrepreneurs engaged in collaborative exchanges (platforms) between Kyrgyzstan and Uzbekistan (acceleration exchange programmes; agro-fairs and handicraft festivals, exhibitions, etc.). Baseline: 0; Target: at least 250 in each country</w:t>
            </w:r>
          </w:p>
          <w:p w:rsidR="00000000" w:rsidDel="00000000" w:rsidP="00000000" w:rsidRDefault="00000000" w:rsidRPr="00000000" w14:paraId="00000052">
            <w:pPr>
              <w:spacing w:after="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Output Indicator 3.5 - Number of IT solutions (hackathon) supported/introduced to increase the efficiency of agro-production and processing in farming businesses.  Baseline: TBD Target: at least 3 in each country.</w:t>
            </w:r>
          </w:p>
          <w:p w:rsidR="00000000" w:rsidDel="00000000" w:rsidP="00000000" w:rsidRDefault="00000000" w:rsidRPr="00000000" w14:paraId="00000054">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Output 4.  The capacity of local authorities on cross-border cooperation is enhanced through capacity-building, expansion of communication and establishment of new areas of cooperation.</w:t>
            </w:r>
          </w:p>
          <w:p w:rsidR="00000000" w:rsidDel="00000000" w:rsidP="00000000" w:rsidRDefault="00000000" w:rsidRPr="00000000" w14:paraId="00000055">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Expected results for local authorities:</w:t>
            </w:r>
          </w:p>
          <w:p w:rsidR="00000000" w:rsidDel="00000000" w:rsidP="00000000" w:rsidRDefault="00000000" w:rsidRPr="00000000" w14:paraId="00000056">
            <w:pPr>
              <w:spacing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Local authorities are trained on communication, mediation, </w:t>
            </w:r>
            <w:r w:rsidDel="00000000" w:rsidR="00000000" w:rsidRPr="00000000">
              <w:rPr>
                <w:rFonts w:ascii="Times New Roman" w:cs="Times New Roman" w:eastAsia="Times New Roman" w:hAnsi="Times New Roman"/>
                <w:sz w:val="24"/>
                <w:szCs w:val="24"/>
                <w:rtl w:val="0"/>
              </w:rPr>
              <w:t xml:space="preserve">and negotiation skills, and on gender-responsive tools for management of cross-border related processes and use these tools in the implementation of national and local action plans - up to $20,000</w:t>
            </w:r>
          </w:p>
          <w:p w:rsidR="00000000" w:rsidDel="00000000" w:rsidP="00000000" w:rsidRDefault="00000000" w:rsidRPr="00000000" w14:paraId="00000057">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Local authorities are supported in introducing and applying gender-responsive approaches in local planning for climate-smart agriculture and peacebuilding - up to $20,000</w:t>
            </w:r>
          </w:p>
          <w:p w:rsidR="00000000" w:rsidDel="00000000" w:rsidP="00000000" w:rsidRDefault="00000000" w:rsidRPr="00000000" w14:paraId="00000058">
            <w:pPr>
              <w:spacing w:after="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Informational campaign is carried out to raise awareness and communication for exchange of information and communication between local authorities, water and pasture users’ associations inside Kyrgyzstan as well we in close cooperation with the project partners in Uzbekistan - up to $10,000</w:t>
            </w:r>
          </w:p>
          <w:p w:rsidR="00000000" w:rsidDel="00000000" w:rsidP="00000000" w:rsidRDefault="00000000" w:rsidRPr="00000000" w14:paraId="00000059">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Indicators of achievement:</w:t>
            </w:r>
          </w:p>
          <w:p w:rsidR="00000000" w:rsidDel="00000000" w:rsidP="00000000" w:rsidRDefault="00000000" w:rsidRPr="00000000" w14:paraId="0000005A">
            <w:pPr>
              <w:spacing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Output Indicator 4.1 - Number of local authorities and women within them (women-deputies and in local administrations) on both sides reporting  improved communication, mediation and negotiation skills and use of gender-responsive tools for management of cross-border related processes. Baseline: 0; Target: at least 2 local government representatives/target communities; at least, 50 % women participation</w:t>
            </w:r>
            <w:r w:rsidDel="00000000" w:rsidR="00000000" w:rsidRPr="00000000">
              <w:rPr>
                <w:rtl w:val="0"/>
              </w:rPr>
            </w:r>
          </w:p>
          <w:p w:rsidR="00000000" w:rsidDel="00000000" w:rsidP="00000000" w:rsidRDefault="00000000" w:rsidRPr="00000000" w14:paraId="0000005B">
            <w:pPr>
              <w:spacing w:before="240" w:lineRule="auto"/>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C">
            <w:pPr>
              <w:spacing w:after="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Output Indicator 4.2 - The number of gender-responsive approaches applied in local planning for CSA and peacebuilding as a result of exchanges and interactions between authorities, water and pasture users’ association of Kyrgyzstan and Uzbekistan. Baseline: 0; Target: at least 12 per country </w:t>
            </w:r>
            <w:r w:rsidDel="00000000" w:rsidR="00000000" w:rsidRPr="00000000">
              <w:rPr>
                <w:rtl w:val="0"/>
              </w:rPr>
            </w:r>
          </w:p>
          <w:p w:rsidR="00000000" w:rsidDel="00000000" w:rsidP="00000000" w:rsidRDefault="00000000" w:rsidRPr="00000000" w14:paraId="0000005D">
            <w:pPr>
              <w:shd w:fill="ffffff" w:val="clea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Geographical localities:</w:t>
            </w:r>
            <w:r w:rsidDel="00000000" w:rsidR="00000000" w:rsidRPr="00000000">
              <w:rPr>
                <w:rFonts w:ascii="Times New Roman" w:cs="Times New Roman" w:eastAsia="Times New Roman" w:hAnsi="Times New Roman"/>
                <w:sz w:val="24"/>
                <w:szCs w:val="24"/>
                <w:rtl w:val="0"/>
              </w:rPr>
              <w:t xml:space="preserve"> two villages in Aksy (Olon-Bulak and Kashka-Suu) and two in Ala-Buka rayons (Kajar and Baimak) of Jalal-Abad province; and two villages in Aravan rayon (Mangyt and Chek-Abad villages) Osh province.</w:t>
            </w:r>
          </w:p>
          <w:p w:rsidR="00000000" w:rsidDel="00000000" w:rsidP="00000000" w:rsidRDefault="00000000" w:rsidRPr="00000000" w14:paraId="0000005E">
            <w:pPr>
              <w:spacing w:after="240" w:before="240" w:lineRule="auto"/>
              <w:rPr>
                <w:rFonts w:ascii="Times New Roman" w:cs="Times New Roman" w:eastAsia="Times New Roman" w:hAnsi="Times New Roman"/>
                <w:sz w:val="24"/>
                <w:szCs w:val="24"/>
                <w:shd w:fill="ff9900" w:val="clear"/>
              </w:rPr>
            </w:pPr>
            <w:r w:rsidDel="00000000" w:rsidR="00000000" w:rsidRPr="00000000">
              <w:rPr>
                <w:rFonts w:ascii="Times New Roman" w:cs="Times New Roman" w:eastAsia="Times New Roman" w:hAnsi="Times New Roman"/>
                <w:b w:val="1"/>
                <w:sz w:val="24"/>
                <w:szCs w:val="24"/>
                <w:rtl w:val="0"/>
              </w:rPr>
              <w:t xml:space="preserve">Duration of the proposed intervention: </w:t>
            </w:r>
            <w:r w:rsidDel="00000000" w:rsidR="00000000" w:rsidRPr="00000000">
              <w:rPr>
                <w:rFonts w:ascii="Times New Roman" w:cs="Times New Roman" w:eastAsia="Times New Roman" w:hAnsi="Times New Roman"/>
                <w:sz w:val="24"/>
                <w:szCs w:val="24"/>
                <w:shd w:fill="ff9900" w:val="clear"/>
                <w:rtl w:val="0"/>
              </w:rPr>
              <w:t xml:space="preserve">April 2022 - December 2023</w:t>
            </w:r>
          </w:p>
          <w:p w:rsidR="00000000" w:rsidDel="00000000" w:rsidP="00000000" w:rsidRDefault="00000000" w:rsidRPr="00000000" w14:paraId="0000005F">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Organizations that wish to participate in this Invitation for Proposals may choose to apply in all (Output 1, Output 2, Output 3 and Output 4) or one/two/three of the proposal intervention areas (one/two/three of the above Outputs)</w:t>
            </w:r>
          </w:p>
          <w:p w:rsidR="00000000" w:rsidDel="00000000" w:rsidP="00000000" w:rsidRDefault="00000000" w:rsidRPr="00000000" w14:paraId="0000006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Organizations may apply individually or on behalf of a consortium with other non-government organizations represented in the proposal target area or that match the required expertise.</w:t>
            </w:r>
          </w:p>
          <w:p w:rsidR="00000000" w:rsidDel="00000000" w:rsidP="00000000" w:rsidRDefault="00000000" w:rsidRPr="00000000" w14:paraId="00000061">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bl>
      <w:tblPr>
        <w:tblStyle w:val="Table3"/>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4160"/>
        <w:gridCol w:w="3560"/>
        <w:tblGridChange w:id="0">
          <w:tblGrid>
            <w:gridCol w:w="1644"/>
            <w:gridCol w:w="4160"/>
            <w:gridCol w:w="3560"/>
          </w:tblGrid>
        </w:tblGridChange>
      </w:tblGrid>
      <w:tr>
        <w:trPr>
          <w:cantSplit w:val="0"/>
          <w:tblHeader w:val="0"/>
        </w:trPr>
        <w:tc>
          <w:tcPr>
            <w:gridSpan w:val="3"/>
            <w:shd w:fill="002060" w:val="clea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2: Application requirements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Documentation required for the submission</w:t>
            </w:r>
          </w:p>
        </w:tc>
        <w:tc>
          <w:tcPr>
            <w:gridSpan w:val="2"/>
            <w:tcBorders>
              <w:left w:color="bdd7ee" w:space="0" w:sz="6" w:val="single"/>
            </w:tcBorders>
          </w:tcPr>
          <w:p w:rsidR="00000000" w:rsidDel="00000000" w:rsidP="00000000" w:rsidRDefault="00000000" w:rsidRPr="00000000" w14:paraId="0000006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of interest shall include the following documentation:</w:t>
            </w:r>
          </w:p>
          <w:p w:rsidR="00000000" w:rsidDel="00000000" w:rsidP="00000000" w:rsidRDefault="00000000" w:rsidRPr="00000000" w14:paraId="00000068">
            <w:pPr>
              <w:numPr>
                <w:ilvl w:val="0"/>
                <w:numId w:val="15"/>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State Registry (legal status) of the NGO in Kyrgyzstan and Charter of the NGO</w:t>
            </w:r>
          </w:p>
          <w:p w:rsidR="00000000" w:rsidDel="00000000" w:rsidP="00000000" w:rsidRDefault="00000000" w:rsidRPr="00000000" w14:paraId="00000069">
            <w:pPr>
              <w:numPr>
                <w:ilvl w:val="0"/>
                <w:numId w:val="1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I – NGO Profile and Programme Proposal</w:t>
            </w:r>
          </w:p>
          <w:p w:rsidR="00000000" w:rsidDel="00000000" w:rsidP="00000000" w:rsidRDefault="00000000" w:rsidRPr="00000000" w14:paraId="0000006A">
            <w:pPr>
              <w:numPr>
                <w:ilvl w:val="0"/>
                <w:numId w:val="15"/>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Latest annual report and audit report as separate documents or hyperlink to the documents</w:t>
            </w:r>
          </w:p>
        </w:tc>
      </w:tr>
      <w:tr>
        <w:trPr>
          <w:cantSplit w:val="0"/>
          <w:tblHeader w:val="0"/>
        </w:trPr>
        <w:tc>
          <w:tcPr>
            <w:vMerge w:val="restart"/>
            <w:tcBorders>
              <w:right w:color="bdd7ee" w:space="0" w:sz="6" w:val="single"/>
            </w:tcBorders>
            <w:shd w:fill="d9d9d9" w:val="clear"/>
          </w:tcPr>
          <w:p w:rsidR="00000000" w:rsidDel="00000000" w:rsidP="00000000" w:rsidRDefault="00000000" w:rsidRPr="00000000" w14:paraId="000000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Indicative timelines</w:t>
            </w:r>
          </w:p>
        </w:tc>
        <w:tc>
          <w:tcPr>
            <w:tcBorders>
              <w:left w:color="bdd7ee" w:space="0" w:sz="6" w:val="single"/>
            </w:tcBorders>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Invitation for Proposal issue date </w:t>
            </w:r>
          </w:p>
        </w:tc>
        <w:tc>
          <w:tcPr>
            <w:tcBorders>
              <w:left w:color="bdd7ee" w:space="0" w:sz="6" w:val="single"/>
            </w:tcBorders>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February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submissions of proposals</w:t>
            </w:r>
          </w:p>
        </w:tc>
        <w:tc>
          <w:tcPr>
            <w:tcBorders>
              <w:left w:color="bdd7ee" w:space="0" w:sz="6" w:val="single"/>
            </w:tcBorders>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March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requests of additional information/ clarifications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i w:val="1"/>
                <w:rtl w:val="0"/>
              </w:rPr>
              <w:t xml:space="preserve">A two-hour online consultation meeting with the potential applicants is scheduled for 4 March 10.00-12.00 day time  to respond to the queries and clarifications:</w:t>
            </w:r>
          </w:p>
          <w:p w:rsidR="00000000" w:rsidDel="00000000" w:rsidP="00000000" w:rsidRDefault="00000000" w:rsidRPr="00000000" w14:paraId="0000007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Zoom link: </w:t>
            </w:r>
            <w:hyperlink r:id="rId13">
              <w:r w:rsidDel="00000000" w:rsidR="00000000" w:rsidRPr="00000000">
                <w:rPr>
                  <w:i w:val="1"/>
                  <w:color w:val="3e8def"/>
                  <w:sz w:val="21"/>
                  <w:szCs w:val="21"/>
                  <w:highlight w:val="white"/>
                  <w:u w:val="single"/>
                  <w:rtl w:val="0"/>
                </w:rPr>
                <w:t xml:space="preserve">https://unfpa.zoom.us/j/84593285573</w:t>
              </w:r>
            </w:hyperlink>
            <w:r w:rsidDel="00000000" w:rsidR="00000000" w:rsidRPr="00000000">
              <w:rPr>
                <w:rtl w:val="0"/>
              </w:rPr>
            </w:r>
          </w:p>
        </w:tc>
        <w:tc>
          <w:tcPr>
            <w:tcBorders>
              <w:left w:color="bdd7ee" w:space="0" w:sz="6" w:val="single"/>
            </w:tcBorders>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March</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AM - 12.00 PM</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NGO submissions</w:t>
            </w:r>
          </w:p>
        </w:tc>
        <w:tc>
          <w:tcPr>
            <w:tcBorders>
              <w:left w:color="bdd7ee" w:space="0" w:sz="6" w:val="single"/>
            </w:tcBorders>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March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of results communicated to NGO</w:t>
            </w:r>
          </w:p>
        </w:tc>
        <w:tc>
          <w:tcPr>
            <w:tcBorders>
              <w:left w:color="bdd7ee" w:space="0" w:sz="6" w:val="single"/>
            </w:tcBorders>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 April 2022</w:t>
            </w:r>
          </w:p>
        </w:tc>
      </w:tr>
    </w:tbl>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bl>
      <w:tblPr>
        <w:tblStyle w:val="Table4"/>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1731"/>
        <w:gridCol w:w="5989"/>
        <w:tblGridChange w:id="0">
          <w:tblGrid>
            <w:gridCol w:w="1644"/>
            <w:gridCol w:w="1731"/>
            <w:gridCol w:w="5989"/>
          </w:tblGrid>
        </w:tblGridChange>
      </w:tblGrid>
      <w:tr>
        <w:trPr>
          <w:cantSplit w:val="0"/>
          <w:tblHeader w:val="0"/>
        </w:trPr>
        <w:tc>
          <w:tcPr>
            <w:gridSpan w:val="3"/>
            <w:shd w:fill="002060" w:val="cle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3: Process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8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Review &amp; evaluation of NGO submissions</w:t>
            </w:r>
          </w:p>
        </w:tc>
        <w:tc>
          <w:tcPr>
            <w:gridSpan w:val="2"/>
            <w:tcBorders>
              <w:left w:color="bdd7ee" w:space="0" w:sz="6"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assessed by a review panel to identify organizations that have the required knowledge, skills, and capacity to support achievement of results </w:t>
            </w:r>
            <w:r w:rsidDel="00000000" w:rsidR="00000000" w:rsidRPr="00000000">
              <w:rPr>
                <w:rFonts w:ascii="Times New Roman" w:cs="Times New Roman" w:eastAsia="Times New Roman" w:hAnsi="Times New Roman"/>
                <w:i w:val="1"/>
                <w:sz w:val="24"/>
                <w:szCs w:val="24"/>
                <w:rtl w:val="0"/>
              </w:rPr>
              <w:t xml:space="preserve">using criteria outlined in section 3.2 below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trPr>
          <w:cantSplit w:val="0"/>
          <w:trHeight w:val="20" w:hRule="atLeast"/>
          <w:tblHeader w:val="0"/>
        </w:trPr>
        <w:tc>
          <w:tcPr>
            <w:vMerge w:val="restart"/>
            <w:tcBorders>
              <w:right w:color="bdd7ee" w:space="0" w:sz="6" w:val="single"/>
            </w:tcBorders>
            <w:shd w:fill="d9d9d9" w:val="clear"/>
          </w:tcPr>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Selection criteria</w:t>
            </w:r>
          </w:p>
        </w:tc>
        <w:tc>
          <w:tcPr>
            <w:gridSpan w:val="2"/>
            <w:tcBorders>
              <w:left w:color="bdd7ee" w:space="0" w:sz="6" w:val="single"/>
            </w:tcBorders>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rsidR="00000000" w:rsidDel="00000000" w:rsidP="00000000" w:rsidRDefault="00000000" w:rsidRPr="00000000" w14:paraId="0000008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Kyrgyzstan office will review evidence provided by the NGO submission and evaluate applications based on the following criteria:</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Any proposal not submitted in specified working language will be excluded from consideration.</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&amp; Leadership</w:t>
            </w:r>
          </w:p>
        </w:tc>
        <w:tc>
          <w:tcPr>
            <w:tcBorders>
              <w:left w:color="bdd7ee" w:space="0" w:sz="6" w:val="single"/>
            </w:tcBorders>
          </w:tcPr>
          <w:p w:rsidR="00000000" w:rsidDel="00000000" w:rsidP="00000000" w:rsidRDefault="00000000" w:rsidRPr="00000000" w14:paraId="0000008F">
            <w:pPr>
              <w:numPr>
                <w:ilvl w:val="0"/>
                <w:numId w:val="10"/>
              </w:numPr>
              <w:spacing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clearly defined mission and goals that reflect the organization’s structure and context, as well as alignment to UNFPA priority areas including youth and women empowerment (in particular through entrepreneurship); </w:t>
            </w:r>
          </w:p>
          <w:p w:rsidR="00000000" w:rsidDel="00000000" w:rsidP="00000000" w:rsidRDefault="00000000" w:rsidRPr="00000000" w14:paraId="00000090">
            <w:pPr>
              <w:numPr>
                <w:ilvl w:val="0"/>
                <w:numId w:val="10"/>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a history of fraud, complaints or service delivery issues.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w:t>
            </w:r>
          </w:p>
        </w:tc>
        <w:tc>
          <w:tcPr>
            <w:tcBorders>
              <w:left w:color="bdd7ee" w:space="0" w:sz="6" w:val="single"/>
            </w:tcBorders>
          </w:tcPr>
          <w:p w:rsidR="00000000" w:rsidDel="00000000" w:rsidP="00000000" w:rsidRDefault="00000000" w:rsidRPr="00000000" w14:paraId="00000093">
            <w:pPr>
              <w:numPr>
                <w:ilvl w:val="0"/>
                <w:numId w:val="14"/>
              </w:numPr>
              <w:spacing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Organization has sufficient staff resources and technical expertise to implement the proposed activities.</w:t>
            </w:r>
            <w:r w:rsidDel="00000000" w:rsidR="00000000" w:rsidRPr="00000000">
              <w:rPr>
                <w:rtl w:val="0"/>
              </w:rPr>
            </w:r>
          </w:p>
          <w:p w:rsidR="00000000" w:rsidDel="00000000" w:rsidP="00000000" w:rsidRDefault="00000000" w:rsidRPr="00000000" w14:paraId="0000009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conflicts of interest with UNFPA or its personnel that cannot be effectively mitigated.</w:t>
            </w:r>
          </w:p>
          <w:p w:rsidR="00000000" w:rsidDel="00000000" w:rsidP="00000000" w:rsidRDefault="00000000" w:rsidRPr="00000000" w14:paraId="00000095">
            <w:pPr>
              <w:numPr>
                <w:ilvl w:val="0"/>
                <w:numId w:val="14"/>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does not have a history of sexual exploitation, abuse and harassments. Staff of the organization agree to perform the required UN PSEA (prevention of sexual exploitation and abuse) policy and procedures, when selected.  </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Advantage</w:t>
            </w:r>
          </w:p>
        </w:tc>
        <w:tc>
          <w:tcPr>
            <w:tcBorders>
              <w:left w:color="bdd7ee" w:space="0" w:sz="6" w:val="single"/>
            </w:tcBorders>
          </w:tcPr>
          <w:p w:rsidR="00000000" w:rsidDel="00000000" w:rsidP="00000000" w:rsidRDefault="00000000" w:rsidRPr="00000000" w14:paraId="00000098">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mission and/or strategic plan focuses on at least one of the UNFPA’s programme areas.</w:t>
            </w:r>
          </w:p>
          <w:p w:rsidR="00000000" w:rsidDel="00000000" w:rsidP="00000000" w:rsidRDefault="00000000" w:rsidRPr="00000000" w14:paraId="00000099">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experience in the country or field and enjoys prominence in areas related to UNFPA’s mandate.</w:t>
            </w:r>
          </w:p>
          <w:p w:rsidR="00000000" w:rsidDel="00000000" w:rsidP="00000000" w:rsidRDefault="00000000" w:rsidRPr="00000000" w14:paraId="0000009A">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proven track record in implementing similar activities and is seen as credible by its stakeholders and partners.</w:t>
            </w:r>
          </w:p>
          <w:p w:rsidR="00000000" w:rsidDel="00000000" w:rsidP="00000000" w:rsidRDefault="00000000" w:rsidRPr="00000000" w14:paraId="0000009B">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relevant community presence and ability to reach the target audience; especially vulnerable populations and hard-to-reach areas.</w:t>
            </w:r>
          </w:p>
          <w:p w:rsidR="00000000" w:rsidDel="00000000" w:rsidP="00000000" w:rsidRDefault="00000000" w:rsidRPr="00000000" w14:paraId="0000009C">
            <w:pPr>
              <w:numPr>
                <w:ilvl w:val="0"/>
                <w:numId w:val="5"/>
              </w:numPr>
              <w:ind w:left="480" w:hanging="360"/>
              <w:rPr>
                <w:rFonts w:ascii="Times New Roman" w:cs="Times New Roman" w:eastAsia="Times New Roman" w:hAnsi="Times New Roman"/>
                <w:sz w:val="24"/>
                <w:szCs w:val="24"/>
              </w:rPr>
            </w:pPr>
            <w:bookmarkStart w:colFirst="0" w:colLast="0" w:name="_heading=h.1fob9te" w:id="4"/>
            <w:bookmarkEnd w:id="4"/>
            <w:r w:rsidDel="00000000" w:rsidR="00000000" w:rsidRPr="00000000">
              <w:rPr>
                <w:rFonts w:ascii="Times New Roman" w:cs="Times New Roman" w:eastAsia="Times New Roman" w:hAnsi="Times New Roman"/>
                <w:sz w:val="24"/>
                <w:szCs w:val="24"/>
                <w:rtl w:val="0"/>
              </w:rPr>
              <w:t xml:space="preserve">The organization has at least 1 year of experience in working with self-help groups (refers to Output 1)</w:t>
            </w:r>
          </w:p>
          <w:p w:rsidR="00000000" w:rsidDel="00000000" w:rsidP="00000000" w:rsidRDefault="00000000" w:rsidRPr="00000000" w14:paraId="0000009D">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an expertise in youth and/or women entrepreneurship on community level (refers to Output 2 and 3)</w:t>
            </w:r>
          </w:p>
          <w:p w:rsidR="00000000" w:rsidDel="00000000" w:rsidP="00000000" w:rsidRDefault="00000000" w:rsidRPr="00000000" w14:paraId="0000009E">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experience in business acceleration and incubation programmes (provide examples and evidences) (refers to Output 2 and 3)</w:t>
            </w:r>
          </w:p>
          <w:p w:rsidR="00000000" w:rsidDel="00000000" w:rsidP="00000000" w:rsidRDefault="00000000" w:rsidRPr="00000000" w14:paraId="0000009F">
            <w:pPr>
              <w:numPr>
                <w:ilvl w:val="0"/>
                <w:numId w:val="5"/>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proven experience in working with local authorities and gender sensitization of their programmes and plans (provide evidence) (refers to Output 4 applicants)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w:t>
            </w:r>
          </w:p>
        </w:tc>
        <w:tc>
          <w:tcPr>
            <w:tcBorders>
              <w:left w:color="bdd7ee" w:space="0" w:sz="6" w:val="single"/>
            </w:tcBorders>
          </w:tcPr>
          <w:p w:rsidR="00000000" w:rsidDel="00000000" w:rsidP="00000000" w:rsidRDefault="00000000" w:rsidRPr="00000000" w14:paraId="000000A2">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systems and tools in place to systematically collect, analyze and use programme monitoring data</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w:t>
            </w:r>
          </w:p>
        </w:tc>
        <w:tc>
          <w:tcPr>
            <w:tcBorders>
              <w:left w:color="bdd7ee" w:space="0" w:sz="6" w:val="single"/>
            </w:tcBorders>
          </w:tcPr>
          <w:p w:rsidR="00000000" w:rsidDel="00000000" w:rsidP="00000000" w:rsidRDefault="00000000" w:rsidRPr="00000000" w14:paraId="000000A5">
            <w:pPr>
              <w:numPr>
                <w:ilvl w:val="0"/>
                <w:numId w:val="17"/>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partnerships with the government and other relevant local, international and private sector entities.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Considerations</w:t>
            </w:r>
          </w:p>
        </w:tc>
        <w:tc>
          <w:tcPr>
            <w:tcBorders>
              <w:left w:color="bdd7ee" w:space="0" w:sz="6" w:val="single"/>
            </w:tcBorders>
          </w:tcPr>
          <w:p w:rsidR="00000000" w:rsidDel="00000000" w:rsidP="00000000" w:rsidRDefault="00000000" w:rsidRPr="00000000" w14:paraId="000000A8">
            <w:pPr>
              <w:numPr>
                <w:ilvl w:val="0"/>
                <w:numId w:val="3"/>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policies or practices to reduce the environmental impact of its activities. If no policies exist, the organization must not have a history of its activities causing negative impact to the environment. </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A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Prospective partnership agreement</w:t>
            </w:r>
          </w:p>
        </w:tc>
        <w:tc>
          <w:tcPr>
            <w:gridSpan w:val="2"/>
            <w:tcBorders>
              <w:left w:color="bdd7ee" w:space="0" w:sz="6" w:val="single"/>
            </w:tcBorders>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will inform all applicants of the outcome of their submissions in writing to the email indicated in the NGO submission.</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E">
      <w:pPr>
        <w:pStyle w:val="Title"/>
        <w:tabs>
          <w:tab w:val="left" w:pos="426"/>
          <w:tab w:val="left" w:pos="1134"/>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tabs>
          <w:tab w:val="left" w:pos="426"/>
          <w:tab w:val="left" w:pos="1134"/>
        </w:tabs>
        <w:rPr/>
      </w:pPr>
      <w:r w:rsidDel="00000000" w:rsidR="00000000" w:rsidRPr="00000000">
        <w:rPr>
          <w:rtl w:val="0"/>
        </w:rPr>
      </w:r>
    </w:p>
    <w:p w:rsidR="00000000" w:rsidDel="00000000" w:rsidP="00000000" w:rsidRDefault="00000000" w:rsidRPr="00000000" w14:paraId="000000B0">
      <w:pPr>
        <w:tabs>
          <w:tab w:val="left" w:pos="426"/>
          <w:tab w:val="left" w:pos="1134"/>
        </w:tabs>
        <w:rPr/>
      </w:pPr>
      <w:r w:rsidDel="00000000" w:rsidR="00000000" w:rsidRPr="00000000">
        <w:rPr>
          <w:rtl w:val="0"/>
        </w:rPr>
      </w:r>
    </w:p>
    <w:p w:rsidR="00000000" w:rsidDel="00000000" w:rsidP="00000000" w:rsidRDefault="00000000" w:rsidRPr="00000000" w14:paraId="000000B1">
      <w:pPr>
        <w:tabs>
          <w:tab w:val="left" w:pos="426"/>
          <w:tab w:val="left" w:pos="1134"/>
        </w:tabs>
        <w:rPr/>
      </w:pPr>
      <w:r w:rsidDel="00000000" w:rsidR="00000000" w:rsidRPr="00000000">
        <w:rPr>
          <w:rtl w:val="0"/>
        </w:rPr>
      </w:r>
    </w:p>
    <w:p w:rsidR="00000000" w:rsidDel="00000000" w:rsidP="00000000" w:rsidRDefault="00000000" w:rsidRPr="00000000" w14:paraId="000000B2">
      <w:pPr>
        <w:tabs>
          <w:tab w:val="left" w:pos="426"/>
          <w:tab w:val="left" w:pos="1134"/>
        </w:tabs>
        <w:rPr/>
      </w:pPr>
      <w:r w:rsidDel="00000000" w:rsidR="00000000" w:rsidRPr="00000000">
        <w:rPr>
          <w:rtl w:val="0"/>
        </w:rPr>
      </w:r>
    </w:p>
    <w:p w:rsidR="00000000" w:rsidDel="00000000" w:rsidP="00000000" w:rsidRDefault="00000000" w:rsidRPr="00000000" w14:paraId="000000B3">
      <w:pPr>
        <w:tabs>
          <w:tab w:val="left" w:pos="426"/>
          <w:tab w:val="left" w:pos="1134"/>
        </w:tabs>
        <w:rPr/>
      </w:pPr>
      <w:r w:rsidDel="00000000" w:rsidR="00000000" w:rsidRPr="00000000">
        <w:rPr>
          <w:rtl w:val="0"/>
        </w:rPr>
      </w:r>
    </w:p>
    <w:p w:rsidR="00000000" w:rsidDel="00000000" w:rsidP="00000000" w:rsidRDefault="00000000" w:rsidRPr="00000000" w14:paraId="000000B4">
      <w:pPr>
        <w:tabs>
          <w:tab w:val="left" w:pos="426"/>
          <w:tab w:val="left" w:pos="1134"/>
        </w:tabs>
        <w:rPr/>
      </w:pPr>
      <w:r w:rsidDel="00000000" w:rsidR="00000000" w:rsidRPr="00000000">
        <w:rPr>
          <w:rtl w:val="0"/>
        </w:rPr>
      </w:r>
    </w:p>
    <w:p w:rsidR="00000000" w:rsidDel="00000000" w:rsidP="00000000" w:rsidRDefault="00000000" w:rsidRPr="00000000" w14:paraId="000000B5">
      <w:pPr>
        <w:tabs>
          <w:tab w:val="left" w:pos="426"/>
          <w:tab w:val="left" w:pos="1134"/>
        </w:tabs>
        <w:rPr/>
      </w:pPr>
      <w:r w:rsidDel="00000000" w:rsidR="00000000" w:rsidRPr="00000000">
        <w:rPr>
          <w:rtl w:val="0"/>
        </w:rPr>
      </w:r>
    </w:p>
    <w:p w:rsidR="00000000" w:rsidDel="00000000" w:rsidP="00000000" w:rsidRDefault="00000000" w:rsidRPr="00000000" w14:paraId="000000B6">
      <w:pPr>
        <w:tabs>
          <w:tab w:val="left" w:pos="426"/>
          <w:tab w:val="left" w:pos="1134"/>
        </w:tabs>
        <w:rPr/>
      </w:pPr>
      <w:r w:rsidDel="00000000" w:rsidR="00000000" w:rsidRPr="00000000">
        <w:rPr>
          <w:rtl w:val="0"/>
        </w:rPr>
      </w:r>
    </w:p>
    <w:p w:rsidR="00000000" w:rsidDel="00000000" w:rsidP="00000000" w:rsidRDefault="00000000" w:rsidRPr="00000000" w14:paraId="000000B7">
      <w:pPr>
        <w:tabs>
          <w:tab w:val="left" w:pos="426"/>
          <w:tab w:val="left" w:pos="1134"/>
        </w:tabs>
        <w:rPr/>
      </w:pPr>
      <w:r w:rsidDel="00000000" w:rsidR="00000000" w:rsidRPr="00000000">
        <w:rPr>
          <w:rtl w:val="0"/>
        </w:rPr>
      </w:r>
    </w:p>
    <w:bookmarkStart w:colFirst="0" w:colLast="0" w:name="bookmark=id.30j0zll" w:id="5"/>
    <w:bookmarkEnd w:id="5"/>
    <w:p w:rsidR="00000000" w:rsidDel="00000000" w:rsidP="00000000" w:rsidRDefault="00000000" w:rsidRPr="00000000" w14:paraId="000000B8">
      <w:pPr>
        <w:tabs>
          <w:tab w:val="left" w:pos="426"/>
          <w:tab w:val="left" w:pos="1134"/>
        </w:tabs>
        <w:rPr/>
      </w:pPr>
      <w:r w:rsidDel="00000000" w:rsidR="00000000" w:rsidRPr="00000000">
        <w:rPr>
          <w:rtl w:val="0"/>
        </w:rPr>
      </w:r>
    </w:p>
    <w:bookmarkStart w:colFirst="0" w:colLast="0" w:name="bookmark=id.1fob9te" w:id="6"/>
    <w:bookmarkEnd w:id="6"/>
    <w:bookmarkStart w:colFirst="0" w:colLast="0" w:name="bookmark=id.3znysh7" w:id="7"/>
    <w:bookmarkEnd w:id="7"/>
    <w:p w:rsidR="00000000" w:rsidDel="00000000" w:rsidP="00000000" w:rsidRDefault="00000000" w:rsidRPr="00000000" w14:paraId="000000B9">
      <w:pPr>
        <w:pStyle w:val="Title"/>
        <w:tabs>
          <w:tab w:val="left" w:pos="426"/>
          <w:tab w:val="left" w:pos="1134"/>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Attachment I: NGO Profile and Programme Proposal (To be completed by NGO submitting proposal)</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w:t>
            </w:r>
          </w:p>
          <w:p w:rsidR="00000000" w:rsidDel="00000000" w:rsidP="00000000" w:rsidRDefault="00000000" w:rsidRPr="00000000" w14:paraId="000000B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overview of the NGO,</w:t>
            </w:r>
          </w:p>
          <w:p w:rsidR="00000000" w:rsidDel="00000000" w:rsidP="00000000" w:rsidRDefault="00000000" w:rsidRPr="00000000" w14:paraId="000000B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 outline of the activities the NGO is proposing to partner with UNFPA and</w:t>
            </w:r>
          </w:p>
          <w:p w:rsidR="00000000" w:rsidDel="00000000" w:rsidP="00000000" w:rsidRDefault="00000000" w:rsidRPr="00000000" w14:paraId="000000B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provide UNFPA with sufficient evidence to show it meets the criteria outlined in section 3.2 of the IFP. </w:t>
            </w:r>
          </w:p>
          <w:p w:rsidR="00000000" w:rsidDel="00000000" w:rsidP="00000000" w:rsidRDefault="00000000" w:rsidRPr="00000000" w14:paraId="000000B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separate form should be filled for each programme proposal  (for each of Output 1, 2, 3 or 4) submitted.</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Invitation for Proposals.</w:t>
            </w:r>
          </w:p>
          <w:p w:rsidR="00000000" w:rsidDel="00000000" w:rsidP="00000000" w:rsidRDefault="00000000" w:rsidRPr="00000000" w14:paraId="000000C0">
            <w:pPr>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tbl>
      <w:tblPr>
        <w:tblStyle w:val="Table6"/>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C2">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C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14">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left w:color="bdd7ee" w:space="0" w:sz="6" w:val="single"/>
            </w:tcBorders>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D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A.4. Fraud statement</w:t>
            </w:r>
          </w:p>
        </w:tc>
        <w:tc>
          <w:tcPr>
            <w:tcBorders>
              <w:left w:color="bdd7ee" w:space="0" w:sz="6" w:val="single"/>
            </w:tcBorders>
            <w:shd w:fill="d9d9d9" w:val="clear"/>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bl>
      <w:tblPr>
        <w:tblStyle w:val="Table7"/>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E4">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8"/>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w:t>
            </w:r>
          </w:p>
        </w:tc>
        <w:tc>
          <w:tcPr>
            <w:tcBorders>
              <w:left w:color="bdd7ee" w:space="0" w:sz="6" w:val="single"/>
            </w:tcBorders>
            <w:shd w:fill="d9d9d9" w:val="clear"/>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Staff capacity</w:t>
            </w:r>
          </w:p>
        </w:tc>
        <w:tc>
          <w:tcPr>
            <w:gridSpan w:val="2"/>
            <w:tcBorders>
              <w:left w:color="bdd7ee" w:space="0" w:sz="6" w:val="single"/>
            </w:tcBorders>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9"/>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B.3 NGO mandate and background</w:t>
            </w:r>
          </w:p>
        </w:tc>
        <w:tc>
          <w:tcPr>
            <w:tcBorders>
              <w:left w:color="bdd7ee" w:space="0" w:sz="6" w:val="single"/>
            </w:tcBorders>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B.4  Available expertise and specialists</w:t>
            </w:r>
          </w:p>
        </w:tc>
        <w:tc>
          <w:tcPr>
            <w:tcBorders>
              <w:left w:color="bdd7ee" w:space="0" w:sz="6" w:val="single"/>
            </w:tcBorders>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B.5 Experience in proposed area of work</w:t>
            </w:r>
          </w:p>
          <w:p w:rsidR="00000000" w:rsidDel="00000000" w:rsidP="00000000" w:rsidRDefault="00000000" w:rsidRPr="00000000" w14:paraId="000000F9">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type/scope and key results achieved in proposed programmatic area in recent years, including any recognition received at local / global level for the work in the proposed area. Include a summary experience in [</w:t>
            </w:r>
            <w:r w:rsidDel="00000000" w:rsidR="00000000" w:rsidRPr="00000000">
              <w:rPr>
                <w:rFonts w:ascii="Times New Roman" w:cs="Times New Roman" w:eastAsia="Times New Roman" w:hAnsi="Times New Roman"/>
                <w:i w:val="1"/>
                <w:sz w:val="24"/>
                <w:szCs w:val="24"/>
                <w:shd w:fill="b7b7b7" w:val="clear"/>
                <w:rtl w:val="0"/>
              </w:rPr>
              <w:t xml:space="preserve">country</w:t>
            </w:r>
            <w:r w:rsidDel="00000000" w:rsidR="00000000" w:rsidRPr="00000000">
              <w:rPr>
                <w:rFonts w:ascii="Times New Roman" w:cs="Times New Roman" w:eastAsia="Times New Roman" w:hAnsi="Times New Roman"/>
                <w:i w:val="1"/>
                <w:sz w:val="24"/>
                <w:szCs w:val="24"/>
                <w:rtl w:val="0"/>
              </w:rPr>
              <w:t xml:space="preserve">] and prior experience with any organization of the United Nations</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B.6 Knowledge of the local context/ Accessibility to target population</w:t>
            </w:r>
          </w:p>
        </w:tc>
        <w:tc>
          <w:tcPr>
            <w:tcBorders>
              <w:left w:color="bdd7ee" w:space="0" w:sz="6" w:val="single"/>
            </w:tcBorders>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B.7 Credibility</w:t>
            </w:r>
          </w:p>
        </w:tc>
        <w:tc>
          <w:tcPr>
            <w:tcBorders>
              <w:left w:color="bdd7ee" w:space="0" w:sz="6" w:val="single"/>
            </w:tcBorders>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B.8 Monitoring</w:t>
            </w:r>
          </w:p>
        </w:tc>
        <w:tc>
          <w:tcPr>
            <w:tcBorders>
              <w:left w:color="bdd7ee" w:space="0" w:sz="6" w:val="single"/>
            </w:tcBorders>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systems in place (policies, procedures, guidelines, and other tools) that systematically collect, analyse and use programme monitoring data</w:t>
            </w: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tbl>
      <w:tblPr>
        <w:tblStyle w:val="Table10"/>
        <w:tblW w:w="938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0"/>
        <w:gridCol w:w="7740"/>
        <w:tblGridChange w:id="0">
          <w:tblGrid>
            <w:gridCol w:w="1640"/>
            <w:gridCol w:w="7740"/>
          </w:tblGrid>
        </w:tblGridChange>
      </w:tblGrid>
      <w:tr>
        <w:trPr>
          <w:cantSplit w:val="0"/>
          <w:tblHeader w:val="0"/>
        </w:trPr>
        <w:tc>
          <w:tcPr>
            <w:gridSpan w:val="2"/>
            <w:shd w:fill="002060" w:val="clear"/>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Programme title</w:t>
            </w:r>
          </w:p>
        </w:tc>
        <w:tc>
          <w:tcPr>
            <w:tcBorders>
              <w:left w:color="bdd7ee" w:space="0" w:sz="6" w:val="single"/>
            </w:tcBorders>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C.2 Results to which the programme contributes</w:t>
            </w:r>
          </w:p>
        </w:tc>
        <w:tc>
          <w:tcPr>
            <w:tcBorders>
              <w:left w:color="bdd7ee" w:space="0" w:sz="6" w:val="single"/>
            </w:tcBorders>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Refer to Section 1.3 of the Invitation for Proposal</w:t>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C.3 Proposed programme duration</w:t>
            </w:r>
          </w:p>
        </w:tc>
        <w:tc>
          <w:tcPr>
            <w:tcBorders>
              <w:left w:color="bdd7ee" w:space="0" w:sz="6" w:val="single"/>
            </w:tcBorders>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1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enter your total budget here. Please prepare a detailed budget in an Excel file and attach it to your project proposal.</w:t>
            </w: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tbl>
      <w:tblPr>
        <w:tblStyle w:val="Table11"/>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D.1 Programme Summary</w:t>
            </w:r>
          </w:p>
        </w:tc>
        <w:tc>
          <w:tcPr>
            <w:tcBorders>
              <w:left w:color="bdd7ee" w:space="0" w:sz="6" w:val="single"/>
            </w:tcBorders>
          </w:tcPr>
          <w:p w:rsidR="00000000" w:rsidDel="00000000" w:rsidP="00000000" w:rsidRDefault="00000000" w:rsidRPr="00000000" w14:paraId="000001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brief summary of the programme. </w:t>
            </w:r>
          </w:p>
          <w:p w:rsidR="00000000" w:rsidDel="00000000" w:rsidP="00000000" w:rsidRDefault="00000000" w:rsidRPr="00000000" w14:paraId="0000011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11C">
            <w:pPr>
              <w:numPr>
                <w:ilvl w:val="0"/>
                <w:numId w:val="4"/>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Overview of the existing problem;</w:t>
            </w:r>
          </w:p>
          <w:p w:rsidR="00000000" w:rsidDel="00000000" w:rsidP="00000000" w:rsidRDefault="00000000" w:rsidRPr="00000000" w14:paraId="0000011D">
            <w:pPr>
              <w:numPr>
                <w:ilvl w:val="0"/>
                <w:numId w:val="4"/>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the problem is linked to global/regional/national priorities and policies; and</w:t>
            </w:r>
          </w:p>
          <w:p w:rsidR="00000000" w:rsidDel="00000000" w:rsidP="00000000" w:rsidRDefault="00000000" w:rsidRPr="00000000" w14:paraId="0000011E">
            <w:pPr>
              <w:numPr>
                <w:ilvl w:val="0"/>
                <w:numId w:val="4"/>
              </w:numPr>
              <w:ind w:left="250" w:hanging="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briefly explain why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D.3 Expected results</w:t>
            </w:r>
          </w:p>
        </w:tc>
        <w:tc>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D.4 Description of activities and budget</w:t>
            </w:r>
          </w:p>
        </w:tc>
        <w:tc>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D.5 Gender, Equity and Sustainability (optional)</w:t>
            </w:r>
          </w:p>
        </w:tc>
        <w:tc>
          <w:tcPr>
            <w:tcBorders>
              <w:left w:color="bdd7ee" w:space="0" w:sz="6" w:val="single"/>
            </w:tcBorders>
          </w:tcPr>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D.6 Environmental impact</w:t>
            </w:r>
          </w:p>
        </w:tc>
        <w:tc>
          <w:tcPr>
            <w:tcBorders>
              <w:left w:color="bdd7ee" w:space="0" w:sz="6" w:val="single"/>
            </w:tcBorders>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D.7 Other partners involved</w:t>
            </w:r>
          </w:p>
        </w:tc>
        <w:tc>
          <w:tcPr>
            <w:tcBorders>
              <w:left w:color="bdd7ee" w:space="0" w:sz="6" w:val="single"/>
            </w:tcBorders>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D.8 NGO contribution</w:t>
            </w:r>
          </w:p>
        </w:tc>
        <w:tc>
          <w:tcPr>
            <w:tcBorders>
              <w:left w:color="bdd7ee" w:space="0" w:sz="6" w:val="single"/>
            </w:tcBorders>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partner specific contribution to the programme (monetary or in-kind)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D.9 Additional documentation</w:t>
            </w:r>
          </w:p>
          <w:p w:rsidR="00000000" w:rsidDel="00000000" w:rsidP="00000000" w:rsidRDefault="00000000" w:rsidRPr="00000000" w14:paraId="0000013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tbl>
      <w:tblPr>
        <w:tblStyle w:val="Table12"/>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Risks</w:t>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Monitoring </w:t>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tbl>
      <w:tblPr>
        <w:tblStyle w:val="Table13"/>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49">
      <w:pPr>
        <w:rPr>
          <w:rFonts w:ascii="Times New Roman" w:cs="Times New Roman" w:eastAsia="Times New Roman" w:hAnsi="Times New Roman"/>
          <w:sz w:val="22"/>
          <w:szCs w:val="22"/>
        </w:rPr>
      </w:pPr>
      <w:r w:rsidDel="00000000" w:rsidR="00000000" w:rsidRPr="00000000">
        <w:rPr>
          <w:rtl w:val="0"/>
        </w:rPr>
      </w:r>
    </w:p>
    <w:tbl>
      <w:tblPr>
        <w:tblStyle w:val="Table14"/>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1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G.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G.0 Preliminary Screening </w:t>
            </w:r>
          </w:p>
          <w:p w:rsidR="00000000" w:rsidDel="00000000" w:rsidP="00000000" w:rsidRDefault="00000000" w:rsidRPr="00000000" w14:paraId="0000014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5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5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the organization’s PSEA capacity been assessed by a UN entity in the last 5 years? </w:t>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Yes  </w:t>
            </w:r>
            <w:sdt>
              <w:sdtPr>
                <w:tag w:val="goog_rdk_2"/>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yes, share the assessment rating and supporting documentation with UNFPA and do not complete this section.</w:t>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1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w:t>
            </w:r>
            <w:sdt>
              <w:sdtPr>
                <w:tag w:val="goog_rdk_3"/>
              </w:sdtPr>
              <w:sdtContent>
                <w:r w:rsidDel="00000000" w:rsidR="00000000" w:rsidRPr="00000000">
                  <w:rPr>
                    <w:rFonts w:ascii="Arial Unicode MS" w:cs="Arial Unicode MS" w:eastAsia="Arial Unicode MS" w:hAnsi="Arial Unicode MS"/>
                    <w:color w:val="000000"/>
                    <w:sz w:val="22"/>
                    <w:szCs w:val="22"/>
                    <w:rtl w:val="0"/>
                  </w:rPr>
                  <w:t xml:space="preserve">☐</w:t>
                </w:r>
              </w:sdtContent>
            </w:sdt>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G.1 Policy Requirement </w:t>
            </w:r>
          </w:p>
          <w:p w:rsidR="00000000" w:rsidDel="00000000" w:rsidP="00000000" w:rsidRDefault="00000000" w:rsidRPr="00000000" w14:paraId="000001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1">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67">
            <w:pPr>
              <w:numPr>
                <w:ilvl w:val="0"/>
                <w:numId w:val="1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Code of Conduct (internal or interagency)</w:t>
            </w:r>
          </w:p>
          <w:p w:rsidR="00000000" w:rsidDel="00000000" w:rsidP="00000000" w:rsidRDefault="00000000" w:rsidRPr="00000000" w14:paraId="00000168">
            <w:pPr>
              <w:numPr>
                <w:ilvl w:val="0"/>
                <w:numId w:val="1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policy</w:t>
            </w:r>
          </w:p>
          <w:p w:rsidR="00000000" w:rsidDel="00000000" w:rsidP="00000000" w:rsidRDefault="00000000" w:rsidRPr="00000000" w14:paraId="00000169">
            <w:pPr>
              <w:numPr>
                <w:ilvl w:val="0"/>
                <w:numId w:val="1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Documentation of standard procedures for all personnel to receive/sign PSEA policy</w:t>
            </w:r>
          </w:p>
          <w:p w:rsidR="00000000" w:rsidDel="00000000" w:rsidP="00000000" w:rsidRDefault="00000000" w:rsidRPr="00000000" w14:paraId="0000016A">
            <w:pPr>
              <w:numPr>
                <w:ilvl w:val="0"/>
                <w:numId w:val="18"/>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6B">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72">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73">
            <w:pPr>
              <w:numPr>
                <w:ilvl w:val="0"/>
                <w:numId w:val="1"/>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7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7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7C">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Reference check template including check for sexual misconduct (including reference from previous employers and self-declaration)</w:t>
            </w:r>
          </w:p>
          <w:p w:rsidR="00000000" w:rsidDel="00000000" w:rsidP="00000000" w:rsidRDefault="00000000" w:rsidRPr="00000000" w14:paraId="0000017D">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Recruitment procedures</w:t>
            </w:r>
          </w:p>
          <w:p w:rsidR="00000000" w:rsidDel="00000000" w:rsidP="00000000" w:rsidRDefault="00000000" w:rsidRPr="00000000" w14:paraId="0000017E">
            <w:pPr>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8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81">
            <w:pPr>
              <w:widowControl w:val="0"/>
              <w:numPr>
                <w:ilvl w:val="0"/>
                <w:numId w:val="1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5">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82">
            <w:pPr>
              <w:widowControl w:val="0"/>
              <w:numPr>
                <w:ilvl w:val="0"/>
                <w:numId w:val="1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83">
            <w:pPr>
              <w:widowControl w:val="0"/>
              <w:numPr>
                <w:ilvl w:val="0"/>
                <w:numId w:val="16"/>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8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88">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package</w:t>
            </w:r>
          </w:p>
          <w:p w:rsidR="00000000" w:rsidDel="00000000" w:rsidP="00000000" w:rsidRDefault="00000000" w:rsidRPr="00000000" w14:paraId="00000189">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Attendance sheets</w:t>
            </w:r>
          </w:p>
          <w:p w:rsidR="00000000" w:rsidDel="00000000" w:rsidP="00000000" w:rsidRDefault="00000000" w:rsidRPr="00000000" w14:paraId="0000018A">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Training certificates</w:t>
            </w:r>
          </w:p>
          <w:p w:rsidR="00000000" w:rsidDel="00000000" w:rsidP="00000000" w:rsidRDefault="00000000" w:rsidRPr="00000000" w14:paraId="0000018B">
            <w:pPr>
              <w:numPr>
                <w:ilvl w:val="0"/>
                <w:numId w:val="1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8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92">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Complaints and Feedback Mechanism</w:t>
            </w:r>
          </w:p>
          <w:p w:rsidR="00000000" w:rsidDel="00000000" w:rsidP="00000000" w:rsidRDefault="00000000" w:rsidRPr="00000000" w14:paraId="00000193">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Participation in joint reporting mechanisms</w:t>
            </w:r>
          </w:p>
          <w:p w:rsidR="00000000" w:rsidDel="00000000" w:rsidP="00000000" w:rsidRDefault="00000000" w:rsidRPr="00000000" w14:paraId="00000194">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Communication materials</w:t>
            </w:r>
          </w:p>
          <w:p w:rsidR="00000000" w:rsidDel="00000000" w:rsidP="00000000" w:rsidRDefault="00000000" w:rsidRPr="00000000" w14:paraId="00000195">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awareness-raising plan</w:t>
            </w:r>
          </w:p>
          <w:p w:rsidR="00000000" w:rsidDel="00000000" w:rsidP="00000000" w:rsidRDefault="00000000" w:rsidRPr="00000000" w14:paraId="00000196">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reporting mechanism</w:t>
            </w:r>
          </w:p>
          <w:p w:rsidR="00000000" w:rsidDel="00000000" w:rsidP="00000000" w:rsidRDefault="00000000" w:rsidRPr="00000000" w14:paraId="00000197">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Whistle-blower policy</w:t>
            </w:r>
          </w:p>
          <w:p w:rsidR="00000000" w:rsidDel="00000000" w:rsidP="00000000" w:rsidRDefault="00000000" w:rsidRPr="00000000" w14:paraId="00000198">
            <w:pPr>
              <w:numPr>
                <w:ilvl w:val="0"/>
                <w:numId w:val="12"/>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99">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9B">
            <w:pPr>
              <w:rPr>
                <w:rFonts w:ascii="Times New Roman" w:cs="Times New Roman" w:eastAsia="Times New Roman" w:hAnsi="Times New Roman"/>
                <w:sz w:val="22"/>
                <w:szCs w:val="22"/>
              </w:rPr>
            </w:pPr>
            <w:bookmarkStart w:colFirst="0" w:colLast="0" w:name="_heading=h.2et92p0" w:id="8"/>
            <w:bookmarkEnd w:id="8"/>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9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9F">
            <w:pPr>
              <w:numPr>
                <w:ilvl w:val="0"/>
                <w:numId w:val="1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Internal or Interagency referral pathway</w:t>
            </w:r>
          </w:p>
          <w:p w:rsidR="00000000" w:rsidDel="00000000" w:rsidP="00000000" w:rsidRDefault="00000000" w:rsidRPr="00000000" w14:paraId="000001A0">
            <w:pPr>
              <w:numPr>
                <w:ilvl w:val="0"/>
                <w:numId w:val="1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List of Available service providers</w:t>
            </w:r>
          </w:p>
          <w:p w:rsidR="00000000" w:rsidDel="00000000" w:rsidP="00000000" w:rsidRDefault="00000000" w:rsidRPr="00000000" w14:paraId="000001A1">
            <w:pPr>
              <w:numPr>
                <w:ilvl w:val="0"/>
                <w:numId w:val="1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Description of referral or Standard Operation Procedure (SOP)</w:t>
            </w:r>
          </w:p>
          <w:p w:rsidR="00000000" w:rsidDel="00000000" w:rsidP="00000000" w:rsidRDefault="00000000" w:rsidRPr="00000000" w14:paraId="000001A2">
            <w:pPr>
              <w:numPr>
                <w:ilvl w:val="0"/>
                <w:numId w:val="1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Referral form for survivors of GBV/SEA</w:t>
            </w:r>
          </w:p>
          <w:p w:rsidR="00000000" w:rsidDel="00000000" w:rsidP="00000000" w:rsidRDefault="00000000" w:rsidRPr="00000000" w14:paraId="000001A3">
            <w:pPr>
              <w:numPr>
                <w:ilvl w:val="0"/>
                <w:numId w:val="1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Guidelines on victim assistance and/or training on GBV and GBV case management principles</w:t>
            </w:r>
          </w:p>
          <w:p w:rsidR="00000000" w:rsidDel="00000000" w:rsidP="00000000" w:rsidRDefault="00000000" w:rsidRPr="00000000" w14:paraId="000001A4">
            <w:pPr>
              <w:numPr>
                <w:ilvl w:val="0"/>
                <w:numId w:val="19"/>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A5">
            <w:pPr>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404040"/>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A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A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A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AC">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AD">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AE">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AF">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B0">
            <w:pPr>
              <w:numPr>
                <w:ilvl w:val="0"/>
                <w:numId w:val="7"/>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B1">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B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B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B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B8">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B9">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BA">
            <w:pPr>
              <w:numPr>
                <w:ilvl w:val="0"/>
                <w:numId w:val="13"/>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BB">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BC">
      <w:pPr>
        <w:rPr>
          <w:rFonts w:ascii="Times New Roman" w:cs="Times New Roman" w:eastAsia="Times New Roman" w:hAnsi="Times New Roman"/>
          <w:sz w:val="22"/>
          <w:szCs w:val="22"/>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47128D"/>
    <w:rPr>
      <w:color w:val="605e5c"/>
      <w:shd w:color="auto" w:fill="e1dfdd" w:val="clear"/>
    </w:rPr>
  </w:style>
  <w:style w:type="table" w:styleId="affe" w:customStyle="1">
    <w:basedOn w:val="TableNormal"/>
    <w:tblPr>
      <w:tblStyleRowBandSize w:val="1"/>
      <w:tblStyleColBandSize w:val="1"/>
      <w:tblCellMar>
        <w:left w:w="115.0" w:type="dxa"/>
        <w:right w:w="115.0" w:type="dxa"/>
      </w:tblCellMar>
    </w:tblPr>
  </w:style>
  <w:style w:type="table" w:styleId="afff" w:customStyle="1">
    <w:basedOn w:val="TableNormal"/>
    <w:tblPr>
      <w:tblStyleRowBandSize w:val="1"/>
      <w:tblStyleColBandSize w:val="1"/>
      <w:tblCellMar>
        <w:left w:w="115.0" w:type="dxa"/>
        <w:right w:w="115.0" w:type="dxa"/>
      </w:tblCellMar>
    </w:tblPr>
  </w:style>
  <w:style w:type="table" w:styleId="afff0" w:customStyle="1">
    <w:basedOn w:val="TableNormal"/>
    <w:tblPr>
      <w:tblStyleRowBandSize w:val="1"/>
      <w:tblStyleColBandSize w:val="1"/>
      <w:tblCellMar>
        <w:left w:w="115.0" w:type="dxa"/>
        <w:right w:w="115.0" w:type="dxa"/>
      </w:tblCellMar>
    </w:tblPr>
  </w:style>
  <w:style w:type="table" w:styleId="afff1" w:customStyle="1">
    <w:basedOn w:val="TableNormal"/>
    <w:tblPr>
      <w:tblStyleRowBandSize w:val="1"/>
      <w:tblStyleColBandSize w:val="1"/>
      <w:tblCellMar>
        <w:left w:w="115.0" w:type="dxa"/>
        <w:right w:w="115.0" w:type="dxa"/>
      </w:tblCellMar>
    </w:tblPr>
  </w:style>
  <w:style w:type="table" w:styleId="afff2" w:customStyle="1">
    <w:basedOn w:val="TableNormal"/>
    <w:tblPr>
      <w:tblStyleRowBandSize w:val="1"/>
      <w:tblStyleColBandSize w:val="1"/>
      <w:tblCellMar>
        <w:left w:w="115.0" w:type="dxa"/>
        <w:right w:w="115.0" w:type="dxa"/>
      </w:tblCellMar>
    </w:tblPr>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tblPr>
      <w:tblStyleRowBandSize w:val="1"/>
      <w:tblStyleColBandSize w:val="1"/>
      <w:tblCellMar>
        <w:left w:w="115.0" w:type="dxa"/>
        <w:right w:w="115.0" w:type="dxa"/>
      </w:tblCellMar>
    </w:tblPr>
  </w:style>
  <w:style w:type="table" w:styleId="afff5" w:customStyle="1">
    <w:basedOn w:val="TableNormal"/>
    <w:tblPr>
      <w:tblStyleRowBandSize w:val="1"/>
      <w:tblStyleColBandSize w:val="1"/>
      <w:tblCellMar>
        <w:left w:w="115.0" w:type="dxa"/>
        <w:right w:w="115.0" w:type="dxa"/>
      </w:tblCellMar>
    </w:tblPr>
  </w:style>
  <w:style w:type="table" w:styleId="afff6" w:customStyle="1">
    <w:basedOn w:val="TableNormal"/>
    <w:tblPr>
      <w:tblStyleRowBandSize w:val="1"/>
      <w:tblStyleColBandSize w:val="1"/>
      <w:tblCellMar>
        <w:left w:w="115.0" w:type="dxa"/>
        <w:right w:w="115.0" w:type="dxa"/>
      </w:tblCellMar>
    </w:tblPr>
  </w:style>
  <w:style w:type="table" w:styleId="afff7" w:customStyle="1">
    <w:basedOn w:val="TableNormal"/>
    <w:tblPr>
      <w:tblStyleRowBandSize w:val="1"/>
      <w:tblStyleColBandSize w:val="1"/>
      <w:tblCellMar>
        <w:left w:w="115.0" w:type="dxa"/>
        <w:right w:w="115.0" w:type="dxa"/>
      </w:tblCellMar>
    </w:tblPr>
  </w:style>
  <w:style w:type="table" w:styleId="afff8" w:customStyle="1">
    <w:basedOn w:val="TableNormal"/>
    <w:tblPr>
      <w:tblStyleRowBandSize w:val="1"/>
      <w:tblStyleColBandSize w:val="1"/>
      <w:tblCellMar>
        <w:left w:w="115.0" w:type="dxa"/>
        <w:right w:w="115.0" w:type="dxa"/>
      </w:tblCellMar>
    </w:tblPr>
  </w:style>
  <w:style w:type="table" w:styleId="afff9" w:customStyle="1">
    <w:basedOn w:val="TableNormal"/>
    <w:tblPr>
      <w:tblStyleRowBandSize w:val="1"/>
      <w:tblStyleColBandSize w:val="1"/>
      <w:tblCellMar>
        <w:left w:w="115.0" w:type="dxa"/>
        <w:right w:w="115.0" w:type="dxa"/>
      </w:tblCellMar>
    </w:tblPr>
  </w:style>
  <w:style w:type="table" w:styleId="afffa" w:customStyle="1">
    <w:basedOn w:val="TableNormal"/>
    <w:tblPr>
      <w:tblStyleRowBandSize w:val="1"/>
      <w:tblStyleColBandSize w:val="1"/>
      <w:tblCellMar>
        <w:left w:w="115.0" w:type="dxa"/>
        <w:right w:w="115.0" w:type="dxa"/>
      </w:tblCellMar>
    </w:tblPr>
  </w:style>
  <w:style w:type="table" w:styleId="afffb" w:customStyle="1">
    <w:basedOn w:val="TableNormal"/>
    <w:tblPr>
      <w:tblStyleRowBandSize w:val="1"/>
      <w:tblStyleColBandSize w:val="1"/>
      <w:tblCellMar>
        <w:left w:w="115.0" w:type="dxa"/>
        <w:right w:w="115.0" w:type="dxa"/>
      </w:tblCellMar>
    </w:tblPr>
  </w:style>
  <w:style w:type="table" w:styleId="afffc" w:customStyle="1">
    <w:basedOn w:val="TableNormal"/>
    <w:tblPr>
      <w:tblStyleRowBandSize w:val="1"/>
      <w:tblStyleColBandSize w:val="1"/>
      <w:tblCellMar>
        <w:left w:w="115.0" w:type="dxa"/>
        <w:right w:w="115.0" w:type="dxa"/>
      </w:tblCellMar>
    </w:tblPr>
  </w:style>
  <w:style w:type="table" w:styleId="afffd" w:customStyle="1">
    <w:basedOn w:val="TableNormal"/>
    <w:tblPr>
      <w:tblStyleRowBandSize w:val="1"/>
      <w:tblStyleColBandSize w:val="1"/>
      <w:tblCellMar>
        <w:left w:w="115.0" w:type="dxa"/>
        <w:right w:w="115.0" w:type="dxa"/>
      </w:tblCellMar>
    </w:tblPr>
  </w:style>
  <w:style w:type="table" w:styleId="afffe" w:customStyle="1">
    <w:basedOn w:val="TableNormal"/>
    <w:tblPr>
      <w:tblStyleRowBandSize w:val="1"/>
      <w:tblStyleColBandSize w:val="1"/>
      <w:tblCellMar>
        <w:left w:w="115.0" w:type="dxa"/>
        <w:right w:w="115.0" w:type="dxa"/>
      </w:tblCellMar>
    </w:tblPr>
  </w:style>
  <w:style w:type="table" w:styleId="affff" w:customStyle="1">
    <w:basedOn w:val="TableNormal"/>
    <w:tblPr>
      <w:tblStyleRowBandSize w:val="1"/>
      <w:tblStyleColBandSize w:val="1"/>
      <w:tblCellMar>
        <w:left w:w="115.0" w:type="dxa"/>
        <w:right w:w="115.0" w:type="dxa"/>
      </w:tblCellMar>
    </w:tblPr>
  </w:style>
  <w:style w:type="table" w:styleId="affff0" w:customStyle="1">
    <w:basedOn w:val="TableNormal"/>
    <w:tblPr>
      <w:tblStyleRowBandSize w:val="1"/>
      <w:tblStyleColBandSize w:val="1"/>
      <w:tblCellMar>
        <w:left w:w="115.0" w:type="dxa"/>
        <w:right w:w="11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tblPr>
      <w:tblStyleRowBandSize w:val="1"/>
      <w:tblStyleColBandSize w:val="1"/>
      <w:tblCellMar>
        <w:left w:w="115.0" w:type="dxa"/>
        <w:right w:w="115.0" w:type="dxa"/>
      </w:tblCellMar>
    </w:tblPr>
  </w:style>
  <w:style w:type="table" w:styleId="affff3" w:customStyle="1">
    <w:basedOn w:val="TableNormal"/>
    <w:tblPr>
      <w:tblStyleRowBandSize w:val="1"/>
      <w:tblStyleColBandSize w:val="1"/>
      <w:tblCellMar>
        <w:left w:w="115.0" w:type="dxa"/>
        <w:right w:w="115.0" w:type="dxa"/>
      </w:tblCellMar>
    </w:tblPr>
  </w:style>
  <w:style w:type="table" w:styleId="affff4" w:customStyle="1">
    <w:basedOn w:val="TableNormal"/>
    <w:tblPr>
      <w:tblStyleRowBandSize w:val="1"/>
      <w:tblStyleColBandSize w:val="1"/>
      <w:tblCellMar>
        <w:left w:w="115.0" w:type="dxa"/>
        <w:right w:w="115.0" w:type="dxa"/>
      </w:tblCellMar>
    </w:tblPr>
  </w:style>
  <w:style w:type="table" w:styleId="affff5" w:customStyle="1">
    <w:basedOn w:val="TableNormal"/>
    <w:tblPr>
      <w:tblStyleRowBandSize w:val="1"/>
      <w:tblStyleColBandSize w:val="1"/>
      <w:tblCellMar>
        <w:left w:w="115.0" w:type="dxa"/>
        <w:right w:w="115.0" w:type="dxa"/>
      </w:tblCellMar>
    </w:tblPr>
  </w:style>
  <w:style w:type="table" w:styleId="affff6" w:customStyle="1">
    <w:basedOn w:val="TableNormal"/>
    <w:tblPr>
      <w:tblStyleRowBandSize w:val="1"/>
      <w:tblStyleColBandSize w:val="1"/>
      <w:tblCellMar>
        <w:left w:w="115.0" w:type="dxa"/>
        <w:right w:w="115.0" w:type="dxa"/>
      </w:tblCellMar>
    </w:tblPr>
  </w:style>
  <w:style w:type="table" w:styleId="affff7" w:customStyle="1">
    <w:basedOn w:val="TableNormal"/>
    <w:tblPr>
      <w:tblStyleRowBandSize w:val="1"/>
      <w:tblStyleColBandSize w:val="1"/>
      <w:tblCellMar>
        <w:left w:w="115.0" w:type="dxa"/>
        <w:right w:w="115.0" w:type="dxa"/>
      </w:tblCellMar>
    </w:tblPr>
  </w:style>
  <w:style w:type="table" w:styleId="affff8" w:customStyle="1">
    <w:basedOn w:val="TableNormal"/>
    <w:tblPr>
      <w:tblStyleRowBandSize w:val="1"/>
      <w:tblStyleColBandSize w:val="1"/>
      <w:tblCellMar>
        <w:left w:w="115.0" w:type="dxa"/>
        <w:right w:w="115.0" w:type="dxa"/>
      </w:tblCellMar>
    </w:tblPr>
  </w:style>
  <w:style w:type="table" w:styleId="affff9" w:customStyle="1">
    <w:basedOn w:val="TableNormal"/>
    <w:tblPr>
      <w:tblStyleRowBandSize w:val="1"/>
      <w:tblStyleColBandSize w:val="1"/>
      <w:tblCellMar>
        <w:left w:w="115.0" w:type="dxa"/>
        <w:right w:w="115.0" w:type="dxa"/>
      </w:tblCellMar>
    </w:tblPr>
  </w:style>
  <w:style w:type="table" w:styleId="affffa" w:customStyle="1">
    <w:basedOn w:val="TableNormal"/>
    <w:tblPr>
      <w:tblStyleRowBandSize w:val="1"/>
      <w:tblStyleColBandSize w:val="1"/>
      <w:tblCellMar>
        <w:left w:w="115.0" w:type="dxa"/>
        <w:right w:w="115.0" w:type="dxa"/>
      </w:tblCellMar>
    </w:tblPr>
  </w:style>
  <w:style w:type="table" w:styleId="affffb" w:customStyle="1">
    <w:basedOn w:val="TableNormal"/>
    <w:tblPr>
      <w:tblStyleRowBandSize w:val="1"/>
      <w:tblStyleColBandSize w:val="1"/>
      <w:tblCellMar>
        <w:left w:w="115.0" w:type="dxa"/>
        <w:right w:w="115.0" w:type="dxa"/>
      </w:tblCellMar>
    </w:tblPr>
  </w:style>
  <w:style w:type="table" w:styleId="affffc" w:customStyle="1">
    <w:basedOn w:val="TableNormal"/>
    <w:tblPr>
      <w:tblStyleRowBandSize w:val="1"/>
      <w:tblStyleColBandSize w:val="1"/>
      <w:tblCellMar>
        <w:left w:w="115.0" w:type="dxa"/>
        <w:right w:w="115.0" w:type="dxa"/>
      </w:tblCellMar>
    </w:tblPr>
  </w:style>
  <w:style w:type="table" w:styleId="affffd" w:customStyle="1">
    <w:basedOn w:val="TableNormal"/>
    <w:tblPr>
      <w:tblStyleRowBandSize w:val="1"/>
      <w:tblStyleColBandSize w:val="1"/>
      <w:tblCellMar>
        <w:left w:w="115.0" w:type="dxa"/>
        <w:right w:w="115.0" w:type="dxa"/>
      </w:tblCellMar>
    </w:tblPr>
  </w:style>
  <w:style w:type="table" w:styleId="affffe" w:customStyle="1">
    <w:basedOn w:val="TableNormal"/>
    <w:tblPr>
      <w:tblStyleRowBandSize w:val="1"/>
      <w:tblStyleColBandSize w:val="1"/>
      <w:tblCellMar>
        <w:left w:w="115.0" w:type="dxa"/>
        <w:right w:w="115.0" w:type="dxa"/>
      </w:tblCellMar>
    </w:tblPr>
  </w:style>
  <w:style w:type="table" w:styleId="afffff" w:customStyle="1">
    <w:basedOn w:val="TableNormal"/>
    <w:tblPr>
      <w:tblStyleRowBandSize w:val="1"/>
      <w:tblStyleColBandSize w:val="1"/>
      <w:tblCellMar>
        <w:left w:w="115.0" w:type="dxa"/>
        <w:right w:w="115.0" w:type="dxa"/>
      </w:tblCellMar>
    </w:tblPr>
  </w:style>
  <w:style w:type="table" w:styleId="afffff0" w:customStyle="1">
    <w:basedOn w:val="TableNormal"/>
    <w:tblPr>
      <w:tblStyleRowBandSize w:val="1"/>
      <w:tblStyleColBandSize w:val="1"/>
      <w:tblCellMar>
        <w:left w:w="115.0" w:type="dxa"/>
        <w:right w:w="115.0" w:type="dxa"/>
      </w:tblCellMar>
    </w:tblPr>
  </w:style>
  <w:style w:type="table" w:styleId="afffff1" w:customStyle="1">
    <w:basedOn w:val="TableNormal"/>
    <w:tblPr>
      <w:tblStyleRowBandSize w:val="1"/>
      <w:tblStyleColBandSize w:val="1"/>
      <w:tblCellMar>
        <w:left w:w="115.0" w:type="dxa"/>
        <w:right w:w="115.0" w:type="dxa"/>
      </w:tblCellMar>
    </w:tblPr>
  </w:style>
  <w:style w:type="table" w:styleId="afffff2" w:customStyle="1">
    <w:basedOn w:val="TableNormal"/>
    <w:tblPr>
      <w:tblStyleRowBandSize w:val="1"/>
      <w:tblStyleColBandSize w:val="1"/>
      <w:tblCellMar>
        <w:left w:w="115.0" w:type="dxa"/>
        <w:right w:w="115.0" w:type="dxa"/>
      </w:tblCellMar>
    </w:tblPr>
  </w:style>
  <w:style w:type="table" w:styleId="afffff3" w:customStyle="1">
    <w:basedOn w:val="TableNormal"/>
    <w:tblPr>
      <w:tblStyleRowBandSize w:val="1"/>
      <w:tblStyleColBandSize w:val="1"/>
      <w:tblCellMar>
        <w:left w:w="115.0" w:type="dxa"/>
        <w:right w:w="115.0" w:type="dxa"/>
      </w:tblCellMar>
    </w:tblPr>
  </w:style>
  <w:style w:type="table" w:styleId="afffff4" w:customStyle="1">
    <w:basedOn w:val="TableNormal"/>
    <w:tblPr>
      <w:tblStyleRowBandSize w:val="1"/>
      <w:tblStyleColBandSize w:val="1"/>
      <w:tblCellMar>
        <w:left w:w="115.0" w:type="dxa"/>
        <w:right w:w="115.0" w:type="dxa"/>
      </w:tblCellMar>
    </w:tblPr>
  </w:style>
  <w:style w:type="table" w:styleId="afffff5" w:customStyle="1">
    <w:basedOn w:val="TableNormal"/>
    <w:tblPr>
      <w:tblStyleRowBandSize w:val="1"/>
      <w:tblStyleColBandSize w:val="1"/>
      <w:tblCellMar>
        <w:left w:w="115.0" w:type="dxa"/>
        <w:right w:w="115.0" w:type="dxa"/>
      </w:tblCellMar>
    </w:tblPr>
  </w:style>
  <w:style w:type="table" w:styleId="afffff6" w:customStyle="1">
    <w:basedOn w:val="TableNormal"/>
    <w:tblPr>
      <w:tblStyleRowBandSize w:val="1"/>
      <w:tblStyleColBandSize w:val="1"/>
      <w:tblCellMar>
        <w:left w:w="115.0" w:type="dxa"/>
        <w:right w:w="115.0" w:type="dxa"/>
      </w:tblCellMar>
    </w:tblPr>
  </w:style>
  <w:style w:type="table" w:styleId="afffff7"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 w:type="table" w:styleId="Table11">
    <w:basedOn w:val="TableNormal"/>
    <w:pPr/>
    <w:tblPr>
      <w:tblStyleRowBandSize w:val="1"/>
      <w:tblStyleColBandSize w:val="1"/>
      <w:tblCellMar>
        <w:top w:w="0.0" w:type="dxa"/>
        <w:left w:w="115.0" w:type="dxa"/>
        <w:bottom w:w="0.0" w:type="dxa"/>
        <w:right w:w="115.0" w:type="dxa"/>
      </w:tblCellMar>
    </w:tblPr>
  </w:style>
  <w:style w:type="table" w:styleId="Table12">
    <w:basedOn w:val="TableNormal"/>
    <w:pPr/>
    <w:tblPr>
      <w:tblStyleRowBandSize w:val="1"/>
      <w:tblStyleColBandSize w:val="1"/>
      <w:tblCellMar>
        <w:top w:w="0.0" w:type="dxa"/>
        <w:left w:w="115.0" w:type="dxa"/>
        <w:bottom w:w="0.0" w:type="dxa"/>
        <w:right w:w="115.0" w:type="dxa"/>
      </w:tblCellMar>
    </w:tblPr>
  </w:style>
  <w:style w:type="table" w:styleId="Table13">
    <w:basedOn w:val="TableNormal"/>
    <w:pPr/>
    <w:tblPr>
      <w:tblStyleRowBandSize w:val="1"/>
      <w:tblStyleColBandSize w:val="1"/>
      <w:tblCellMar>
        <w:top w:w="0.0" w:type="dxa"/>
        <w:left w:w="115.0" w:type="dxa"/>
        <w:bottom w:w="0.0" w:type="dxa"/>
        <w:right w:w="115.0" w:type="dxa"/>
      </w:tblCellMar>
    </w:tblPr>
  </w:style>
  <w:style w:type="table" w:styleId="Table14">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kyrgyzstan.unfpa.org" TargetMode="External"/><Relationship Id="rId10" Type="http://schemas.openxmlformats.org/officeDocument/2006/relationships/hyperlink" Target="https://www.unfpa.org/sites/default/files/admin-resource/Working_with_UNFPA_Key_information_for_IP_on_PSEA_Assessment_Nov2020.pdf" TargetMode="External"/><Relationship Id="rId21" Type="http://schemas.openxmlformats.org/officeDocument/2006/relationships/footer" Target="footer1.xml"/><Relationship Id="rId13" Type="http://schemas.openxmlformats.org/officeDocument/2006/relationships/hyperlink" Target="https://unfpa.zoom.us/j/84593285573" TargetMode="External"/><Relationship Id="rId12" Type="http://schemas.openxmlformats.org/officeDocument/2006/relationships/hyperlink" Target="http://www.kyrgyzstan.unfp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mpose/?To=PROCUREMENT_KYRGYZSTAN@unfpa.org" TargetMode="External"/><Relationship Id="rId15" Type="http://schemas.openxmlformats.org/officeDocument/2006/relationships/hyperlink" Target="https://undocs.org/ST/SGB/2003/13" TargetMode="External"/><Relationship Id="rId14" Type="http://schemas.openxmlformats.org/officeDocument/2006/relationships/hyperlink" Target="http://www.unpartnerportal.org"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customXml" Target="../customXML/item1.xml"/><Relationship Id="rId8" Type="http://schemas.openxmlformats.org/officeDocument/2006/relationships/hyperlink" Target="mailto:tenders_kyrgyzstan@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ssKDYRzpmVSfqq401vBw9Xq2pw==">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2020-03-05T21:29:00Z</dcterms:created>
  <dc:creator>Nicole Kim</dc:creator>
</cp:coreProperties>
</file>