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pStyle w:val="Title"/>
        <w:tabs>
          <w:tab w:val="left" w:pos="426"/>
          <w:tab w:val="left" w:pos="1134"/>
        </w:tabs>
        <w:spacing w:before="0" w:lineRule="auto"/>
        <w:ind w:left="1134" w:hanging="1134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Приглашение к подаче предложений (публикация будет подготовлена ЮНФПА)</w:t>
      </w:r>
    </w:p>
    <w:tbl>
      <w:tblPr>
        <w:tblStyle w:val="Table1"/>
        <w:tblW w:w="9375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ЮНФПА, Фонд Организации Объединенных Наций в области народонаселения, международное агентство по вопросам развития, предлагает квалифицированным организациям представить предложения по реализации проекта “Совместное процветание через сотрудничество в приграничных регионах Кыргызстана и Узбекистана”. В частности, мероприятия для реализации включают разделы, посвященные расширению прав и возможностей женщин и молодежи путем укрепления доверия и уверенности и улучшения взаимодействия на платформах сотрудничества в приграничных селах Узбекистана и Кыргызстана. Цель приглашения к подаче предложений состоит в том, чтобы определить подходящие неправительственные организации для дальнейшего партнерства со страновым офисом ЮНФПА в поддержку достижения результатов, изложенных в разделе 1.3 ниже.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Организациям, желающим принять участие в этом приглашении и представить свои предложения, предлагается направить свои материалы по электронной почте с четкой пометкой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«IFP for Cross Border PBF project»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следующему адресу: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странового офиса ЮНФПА в Кыргызстане: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tenders_kyrgyzstan@unfpa.org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17.00 (по бишкекскому времени) 18 марта 2022 года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Предложения, поступившие после указанной даты и времени, не могут быть приняты к рассмотрению.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Заявки должны быть представлены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русском и английском языках.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Любые запросы о предоставлении дополнительной информации должны быть направлены в письменной форме не позднее чем 3 марта 17.00 на электронную почту: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PROCUREMENT_KYRGYZSTAN@unfpa.org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онлайн-консультаций (запланированных на 4 марта) ЮНФПА ответит по электронной почте на все вопросы или запросы на разъяснения, поданные до установленного срока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ЮНФПА будет уведомлять подавшие заявки организации о том, будет ли их заявка направлена на дальнейшее рассмотрение.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Совместная деятельность с ЮНФПА: Ключевая информация для партнеров-исполнителей ЮНФПА о прохождении оценки защиты от сексуальной эксплуатации и сексуальных надругательств (ЗСЭСН)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845"/>
        <w:gridCol w:w="7560"/>
        <w:tblGridChange w:id="0">
          <w:tblGrid>
            <w:gridCol w:w="1845"/>
            <w:gridCol w:w="75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Раздел 1. Справочная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1.1 Мандат ЮНФПА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ЮНФПА является ведущим учреждением ООН, отвечающим за построение мира, в котором каждая беременность желанна, каждые роды безопасны и все молодые люди имеют возможность реализовать свой потенциал.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1.2 Программа помощи ЮНФПА в Кыргызстане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Страновом офисе в Кыргызстане ЮНФПА сотрудничает с правительством и другими партнерами для достижения общей цели по страновому программному документу на 2018-2022 годы с перспективой на следующий программный цикл.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Более подробную информацию о программе можно найти на сайте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http://kyrgyzstan.unfpa.org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ЮНФПА в Кыргызстане работает с правительством и другими партнерами для достижения общей цели и использует комплексный подход в работе по вопросам потребностей женщин и молодежи в области СРЗП/гендерного насилия. Страновой офис руководит Молодежной тематической группой по техническим вопросам, и оказывает поддержку Правительства в реализации инициатив, связанных с молодежью, на уровне политики и адвокации.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планами на 2018-2022 годы, в сотрудничестве с правительством и другими партнерами, ЮНФПА будет способствовать достижению следующих результатов: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№ 3 в Разработке страновой программы ЮНФПА в Кыргызстане: Укрепление национального потенциала в продвижении прав женщин и девочек-подростков с упором на предотвращение гендерного насилия и реагирование на него в контексте развития и гуманитарной деятельности.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направлен на установление сотрудничества между Кыргызстаном и Узбекистаном для предотвращения и снижения риска конфликтов. Уроки, извлеченные из предыдущих программ в приграничных районах, показали, что сотрудничество людей вокруг конкретных совместных интересов, таких как торговля, сельское хозяйство, занятость, экономическое сотрудничество, приносит более долгосрочные и устойчивые результаты в области миростроительства. Таким образом, этот проект свяжет Кыргызстан и Узбекистан путем расширения экономического сотрудничества посредством развития сельского хозяйства между странами с учетом климатических изменений, а также повышения роли женщин и молодежи в качестве ключевых миротворцев. Проект также устраняет стратегический пробел в работе и построении взаимосвязи между миростроительством и климатом в приграничных районах. Поддерживая климатически оптимизированное сельское хозяйство, проект способствует экономии водных ресурсов, тем самым повышая устойчивость сообществ к конфликтам, связанным с ресурсами, изменениям климата и стихийными бедствиям, позволяя им извлекать выгоду из все более устойчивых и гендерно-чувствительных  аспектов управления природными ресурсами, действий по борьбе с изменением климата, инклюзивного управления окружающей средой и защиты. Ключевыми областями, на которых сосредоточен проект, являются: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Трансграничная связь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Социально-экономическое укрепление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Инклюзивный подход "Снизу вверх"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Межсекторальный и взаимосвязанный подход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будет работать с молодыми женщинами и мужчинами в приграничных сообществах, для улучшения социальной сплоченности путем изменения поведения и укрепления доверия, для расширения возможностей женщин (29-58 лет) и девочек (18-28 лет) при поддержке мужчин и мальчиков (подход MenEngage). Таким образом, проект будет способствовать созданию мира, который будет подкреплен ощутимыми экономическими возможностями и что имеет решающее значение для предотвращения трансграничной напряженности.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носит межсекторальный характер и работает на стыке миростроительства, изменения климата, преодоление бедности и расширения прав и возможностей женщин. Он будет использовать существующие решения/опыт и ресурсы местных организаций гражданского общества и местных жителей, которые все чаще признаются важными и различнымиучастниками процесса снижения рисков. Местные органы власти будут задействованы во всех компонентах проекта, и их потенциал будет укреплен для усиления их роли в продвижении инновационных ресурсосберегающих и учитывающих климат сельскохозяйственных технологий и практик, путем пересмотра местных планов развития и обеспечения гендерных аспектов и, таким образом, оптимального использования существующих ресурсов и поиска взаимовыгодных решений для обеспечения средств к существованию по обе стороны границы.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Ключевыми результатами, которые необходимо учитывать при подготовке предложений, являются: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Устранение многосторонних факторов влияющих на конфликт путем содействия справедливому доступу к услугам, развития или создания местных механизмов для межгруппового диалога и сотрудничества, и расширения возможностей для получения средств к существованию, особенно среди  молодежи и женщин, повысит доверие бенефициаров (ГВП), местных органов власти и предпринимателей внутри и между приграничными общинами, а также уменьшит внутренние и трансграничные конфликты.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мероприятий по повышению потенциала в Кыргызстане и Узбекистане, проект свяжет молодежь и женщин-предпринимателей, включая группы взаимопомощи (ГВП) с потенциальными инвесторами и финансовыми учреждениями, которые уже начали оказывать поддержку молодежи и женщинам в рамках государственных политик и корпоративной социальной ответственности (честная деловая практика). Проект привлечет частных инвесторов для обеспечения устойчивости предприятий, которые создают платформы, объединяющие молодежь и женщин, стремящихся к общей цели. Кроме того, наиболее успешные проекты ГВП будут обеспечены оборудованием (по проекту) для расширения бизнеса - с фокусом на маркетинг и переработку.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всего срока действия проекта группы молодежи и женщин-бенефициаров будут регулярно встречаться, обмениваться опытом по вопросам бизнеса, расширяя торговлю между сообществами и странами.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данного Приглашения для подачи предложений Страновой офис ЮНФПА в Кыргызстане ожидает получить предложения от опытных институтов/организаций гражданского общества с конкретным списком мероприятий для достижения целей, указанных с соответствующими индикаторами.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1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1.3 Конкретные результаты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этого проекта, ЮНФПА будет способствовать достижению следующих результатов: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1. Молодежь и женщины обладают потенциалом и инструментами для того чтобы служить связующим звеном между Узбекистаном и Кыргызстаном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 для женских групп: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Женщины (ГВП) обладают знаниями о создании и расширении бизнеса, включая финансовую грамотность и доступ к кредитам (цифровые навыки, требования к национальной налоговой и социальной системам и отчетности, стандарты, правила и требования к экспорту и импорту в рамках ЕАЭС/Узбекистан, получение разрешений, лицензий и сертификатов качества, цепочки добавленной стоимости, и т.д.) - до 35 000 долларов США.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Наставничество и адвокация с упором на женщин, включая ГВП, основанные на подходе MenEngage, осуществляются для расширения знаний и осведомленности о гендерном равенстве, планировании семьи, участии мужчин, семейном бюджете и доступе к услугам и информации - до 40 000 долларов США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достижения результатов для женских групп: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Доля женщин, сообщивших о поддержке со стороны членов мужского сообщества по расширению своих прав и возможностей в рамках программы MenEngage. Исходные данные: 0; Цель достижения: одна треть женщин, участвующих в проекте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бизнес-проектов между ГВП в приграничных селах в результате совместных совещаний между Кыргызстаном и Узбекистаном. Исходные данные: ТБД; Цель: не менее 10 бизнес-планов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2. Укрепление экономического сотрудничества между приграничными сообществами благодаря  инновационным программам развития предпринимательства осуществляемым женщинами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 для женских групп: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Акселерационная программа для женщин в целевых сообществах.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Области, которые необходимо покрыть: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бизнес-проектов и награждение наиболее инновационных и перспективных предпринимательских инициатив среди женщин - до 25 000 долларов США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Налаживание обмена опытом, расширение торговли и создание сетей взаимовыгодного сотрудничества между молодыми женщинами и мужчинами-предпринимателями из Кыргызстана и Узбекистана в приграничных районах, включая: молодежь и женщин-фермеров, местные органы власти, предприятия, финансовые, образовательные и исследовательские учреждения и организации гражданского общества для устойчивого, инклюзивного и справедливого преобразования сельского хозяйства с учетом климата и сети/сотрудничества с учреждениями и предприятиями Узбекистана - до 25 000 долларов США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достижения результатов для групп женщин: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2.1 - Количество молодых женщин, сообщивших об улучшении навыков получения дохода в рамках акселерационной программы (включая портфолио, созданное на маркетплейсе) (14-28 лет): Исходные данные: 0; Цель: не менее 20 участников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2.2. - Количество трансграничных предпринимательских инициатив, поддерживаемых с помощью механизмов малых грантов. Исходные данные: 0; Цель: по крайней мере 10 инициатив в двух странах, которые начали или увеличили получение дохода благодаря приобретенному оборудованию.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2.3 - Количество бизнес-планов участников акселерационной программы, получивших поддержку от инвесторов и финансовых институтов. Исходные данные: 0; Цель: не менее 3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2.4 - Количество предприятий возглавляемых женщинами, участвующих в совместных обменах (платформах) между Кыргызстаном и Узбекистаном (программы ускоренного обмена; агро ярмарки и фестивали ремесел, выставки и т.д.). Исходные данные: 0; Цель: не менее 250 в каждой стране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3. Укрепление экономического сотрудничества между приграничными сообществами благодаря  инновационным программам развития предпринимательства осуществляемым  молодежью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Акселерационная программа для молодежи в целевых сообществах.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 для молодежных групп: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бизнес-проектов и награждение наиболее инновационных и перспективных предпринимательских инициатив среди молодежи - до 25 000 долларов США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Налаживание обмена опытом, расширение торговли и создание сетей взаимовыгодного сотрудничества между молодыми женщинами и мужчинами-предпринимателями из Кыргызстана и Узбекистана в приграничных районах, включая: молодежь и женщин-фермеров, местные органы власти, предприятия, финансовые, образовательные и исследовательские учреждения и организации гражданского общества для устойчивого, инклюзивного и справедливого преобразования сельского хозяйства с учетом климата и сети/сотрудничества с учреждениями и предприятиями Узбекистана - до 25 000 долларов США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Агро-Хакатон организован с целью сбора лучших ИТ-решений для повышения эффективности агропроизводства и переработки - до 70 000 долларов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достижения результатов для молодежных групп:</w:t>
            </w:r>
          </w:p>
          <w:p w:rsidR="00000000" w:rsidDel="00000000" w:rsidP="00000000" w:rsidRDefault="00000000" w:rsidRPr="00000000" w14:paraId="0000006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3.1 - Количество молодых людей, сообщивших об улучшении навыков получения дохода в рамках программы ускорения (включая портфолио, созданное на маркетплейсе): Исходные данные: 0; Цель: не менее 20 участников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3.2. - Количество трансграничных предпринимательских инициатив, поддерживаемых с помощью механизмов малых грантов. Исходные данные: 0; Цель: по крайней мере 10 инициатив в двух странах, которые начали или увеличили получение дохода благодаря приобретенному и распространенному оборудованию.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3.3 - Количество бизнес-планов участников акселерационной программы, поддерживаемых инвесторами и финансовыми институтами. Исходные данные: 0; Цель: не менее 3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3.4 - Количество предпринимателей, возглавляемых молодежью, участвующих в совместных обменах (платформах) между Кыргызстаном и Узбекистаном (программы ускоренного обмена; агро-ярмарки и фестивали ремесел, выставки и т.д.). Исходные данные: 0; Цель: не менее 250 в каждой стране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3.5 - Количество поддерживаемых/внедренных ИТ-решений (хакатон) для повышения эффективности агропроизводства и переработки в фермерских хозяйствах. Исходные данные:0; Цель: не менее 3 в каждой стране.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4. Укрепление потенциала местных органов власти по вопросам трансграничного сотрудничества за счет расширения связей и создания новых областей сотрудничества.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 для местных органов власти: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Местные органы власти в приграничных районах, обучены навыкам коммуникации, посредничества и ведения переговоров, а также инструментам, учитывающим гендерные аспекты, для управления и использования при реализации национальных и местных планов- до 20 000 долларов США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Местным органам власти оказывается поддержка во внедрении и применении гендерных аспектов при местном планировании и реализации работы для построения мира и сельского хозяйства с учетом климатических изменений - до 20 000 долл. США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кампания проводится с целью повышения осведомленности и обмена информации между местными органами власти, ассоциациями водопользователей и пастбищ внутри Кыргызстана, а также в тесном сотрудничестве с партнерами проекта в Узбекистане - до 10 000 долларов США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достижения результатов: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4.1 - Количество представителей местных органов власти и женщин в них (женщин-депутатов и в местных администрациях) с обеих сторон, сообщивших об улучшении навыков общения, посредничества и ведения переговоров и использовании инструментов, учитывающих гендерные аспекты, для управления трансграничными процессами. Исходные данные: 0; Цель: по крайней мере 2 представителя местных органов власти/целевых сообществ; участие женщин не менее 50%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Выходной показатель 4.2 - Количество подходов, учитывающих гендерные аспекты, применяемых при местном планировании для сельского хозяйства с учетом климатических изменений и миростроительства в результате обменов и взаимодействия между органами власти, ассоциацией водопользователей и пастбищ Кыргызстана и Узбекистана. Исходные данные: 0; Целевой показатель: не менее 12 на страну.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Географические населенные пункты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два села в Аксы (Олон-Булак и Кашка-Суу) и два в Ала-Букинском районах (Каджар и Баймак) Джалал-Абадской области; и два села в Араванском районе (села Мангыт и Чек-Абад) Ошская область.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Продолжительность предлагаемых проектных мероприятий/работ: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9900" w:val="clear"/>
                <w:rtl w:val="0"/>
              </w:rPr>
              <w:t xml:space="preserve">апрель 2022 - декабрь 2023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Организации, желающие подать предложения, могут подать заявки во всех (Результат 1, Результат 2, Результат 3 и Результат 4) или в одной/двух/трех областях деятельности (одном/двух/трех из вышеуказанных результатов).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Организации могут подавать заявки индивидуально или от имени консорциума с другими неправительственными организациями, представленными в целевой области предложения или соответствующими требуемым экспертным знаниям.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650"/>
        <w:gridCol w:w="4155"/>
        <w:gridCol w:w="4185"/>
        <w:tblGridChange w:id="0">
          <w:tblGrid>
            <w:gridCol w:w="1650"/>
            <w:gridCol w:w="4155"/>
            <w:gridCol w:w="41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Раздел 2. Требования и сроки подачи заявки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2.1 Документы, необходимые для подачи заявки</w:t>
            </w:r>
          </w:p>
        </w:tc>
        <w:tc>
          <w:tcPr>
            <w:gridSpan w:val="2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Предварительная заявка должна содержать следующую документацию: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1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положений правового статуса НПО в Кыргызской Республике (Свидетельство о регистрации и Устав организации)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I - Профиль НПО и Программа Предложения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Последний годовой отчет и аудиторское заключение в виде отдельных документов или гиперссылки на документы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Справку с налоговой инспекции и справку с социального фонда об отсутствии задолженности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2.2 Ориентировочные сроки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выхода приглашения к подаче предложений 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февраля 2022 года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Крайний срок подачи предложений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марта 2022 года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Крайний срок для подачи запросов для получения дополнительной информации/разъяснений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*Онлайн-консультация с потенциальными партнерами запланирована на 4 марта с 10.00 до 12.00 дневного времени для ответов на вопросы и разъяснений: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встречу: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3e8def"/>
                  <w:sz w:val="21"/>
                  <w:szCs w:val="21"/>
                  <w:highlight w:val="white"/>
                  <w:u w:val="single"/>
                  <w:rtl w:val="0"/>
                </w:rPr>
                <w:t xml:space="preserve">https://unfpa.zoom.us/j/84593285573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марта 2022 года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Рассмотрение материалов, представленных НПО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марта 2022 года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Уведомление НПО о результатах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апреля 2022 года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500"/>
        <w:gridCol w:w="1875"/>
        <w:gridCol w:w="6570"/>
        <w:tblGridChange w:id="0">
          <w:tblGrid>
            <w:gridCol w:w="1500"/>
            <w:gridCol w:w="1875"/>
            <w:gridCol w:w="65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Раздел 3. Процесс и сроки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3.1 Рассмотрение и оценка материалов НПО</w:t>
            </w:r>
          </w:p>
        </w:tc>
        <w:tc>
          <w:tcPr>
            <w:gridSpan w:val="2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Заявки будут оцениваться ревизионной группой для выявления организаций, обладающих необходимыми знаниями, навыками и потенциалом для поддержки достижения результатов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 использованием критериев, изложенных в разделе 3.2 ниже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Вместе с тем следует отметить, что участие в процессе подачи предложений не гарантирует, что организация будет выбрана для партнерства с ЮНФПА. Отобранным НПО будет предложено заключить партнерское соглашение о реализации и соответствующей программной политике и процедурах ЮНФПА.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3.2 Критерии отбора</w:t>
            </w:r>
          </w:p>
        </w:tc>
        <w:tc>
          <w:tcPr>
            <w:gridSpan w:val="2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Соответствующие организации будут отбираться на прозрачной и конкурентной основе с учетом их способности обеспечивать высочайшее качество услуг, включая способность применять инновационные стратегии для наиболее эффективного и экономичного выполнения программных целей.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Страновой офис ЮНФПА в Кыргызской Республике рассмотрит доказательства, представленные НПО, и оценит заявки на основе следующих критериев: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Примечание: любое предложение, не представленное на определенном рабочем языке, не подлежит рассмотрению.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и лидерство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B6">
            <w:pPr>
              <w:numPr>
                <w:ilvl w:val="0"/>
                <w:numId w:val="20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четко определенную миссию и цели, которые отражают структуру и контекст организации, а также соответствие приоритетным областям деятельности ЮНФПА, включая расширение прав и возможностей молодежи и женщин (в частности, посредством предпринимательства)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0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прошлом у организации отсутствуют случаи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мошенничества, жалобы или проблемы с оказанием услуг.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Кадровые ресурсы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BA">
            <w:pPr>
              <w:numPr>
                <w:ilvl w:val="0"/>
                <w:numId w:val="11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располагает достаточными кадровыми ресурсами и техническими знаниями для осуществления предлагаемых мероприятий.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1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организации отсутствуют конфликты интересов с ЮНФПА или его персоналом, которые не могут быть эффективно урегулированы.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1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не имеет истории сексуальной эксплуатации, злоупотреблений и домогательств. Сотрудники организации соглашаются выполнять требуемую политику и процедуры PSEA ООН (предотвращение сексуальной эксплуатации и насилия) при их выборе.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Сравнительное преимущество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BF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Миссия и/или стратегический план организации сосредоточены по крайней мере на одной из программных областей ЮНФПА.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опыт работы в стране или на местах и занимает видное место в областях, связанных с мандатом ЮНФПА.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подтвержденный опыт осуществления аналогичных мероприятий и пользуется доверием заинтересованных сторон и партнеров.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соответствующее присутствие в сообществе и имеет возможность охватить целевую аудиторию; особо уязвимые слои населения и труднодоступные районы.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не менее 1 года опыта работы с группами взаимопомощи (относится к Результату 1)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опыт работы с молодежным и/или женским предпринимательством на уровне сообщества (относится к Результатам 2 и 3).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опыт акселерации бизнеса и программ инкубации (приведите примеры и свидетельствующие данные) (относится к Результатам 2 и 3)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имеет подтвержденный опыт работы с местными органами власти и гендерной сенсибилизации их программ и планов (предоставьте свидетельствующие данные) (относится к Результату 4)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C9">
            <w:pPr>
              <w:numPr>
                <w:ilvl w:val="0"/>
                <w:numId w:val="18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располагает системами и инструментами для систематического сбора, анализа и использования данных мониторинга программы.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Партнерские отношения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CC">
            <w:pPr>
              <w:numPr>
                <w:ilvl w:val="0"/>
                <w:numId w:val="15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установила партнерские отношения с правительством и другими соответствующими местными, международными и частными организациями.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Природоохранные соображения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CF">
            <w:pPr>
              <w:numPr>
                <w:ilvl w:val="0"/>
                <w:numId w:val="5"/>
              </w:numPr>
              <w:ind w:left="4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разработала политику или практику, направленную на снижение воздействия деятельности организации на окружающую среду. Если таковой политики не существует, прошлая деятельность организации не должна оказывать негативное влияние на окружающую среду.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3.3 Предполагаемое партнерское соглашение</w:t>
            </w:r>
          </w:p>
        </w:tc>
        <w:tc>
          <w:tcPr>
            <w:gridSpan w:val="2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ЮНФПА будет информировать всех заявителей о результатах отбора в письменной форме по электронной почте, указанной в предложении НПО.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Title"/>
        <w:tabs>
          <w:tab w:val="left" w:pos="426"/>
          <w:tab w:val="left" w:pos="1134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30j0zll" w:id="3"/>
    <w:bookmarkEnd w:id="3"/>
    <w:p w:rsidR="00000000" w:rsidDel="00000000" w:rsidP="00000000" w:rsidRDefault="00000000" w:rsidRPr="00000000" w14:paraId="000000D6">
      <w:pPr>
        <w:pStyle w:val="Title"/>
        <w:tabs>
          <w:tab w:val="left" w:pos="426"/>
          <w:tab w:val="left" w:pos="1134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4"/>
    <w:bookmarkEnd w:id="4"/>
    <w:bookmarkStart w:colFirst="0" w:colLast="0" w:name="bookmark=id.3znysh7" w:id="5"/>
    <w:bookmarkEnd w:id="5"/>
    <w:p w:rsidR="00000000" w:rsidDel="00000000" w:rsidP="00000000" w:rsidRDefault="00000000" w:rsidRPr="00000000" w14:paraId="000000D7">
      <w:pPr>
        <w:pStyle w:val="Title"/>
        <w:tabs>
          <w:tab w:val="left" w:pos="426"/>
          <w:tab w:val="left" w:pos="1134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I. Профиль НПО и предложение по программе (должно быть заполнено НПО, представившей предложение)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настоящего предложения состоит в том, чтобы предоставить следующую информацию: 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обзор НПО, 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краткое описание деятельности, в которой НПО намерено сотрудничать с ЮНФПА,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предоставление ЮНФПА достаточных доказательств того, что организация соответствует критериям, изложенным в разделе 3.2 ППП.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Для каждого представленного программного предложения (по каждому результату: 1, 2, 3 или 4) должна быть заполнена отдельная 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Данные, представленные в этой форме, будут использоваться для информирования о ходе рассмотрения и оценке представлений НПО, как указано в приглашении к подаче предложений.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10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428"/>
        <w:gridCol w:w="2577"/>
        <w:gridCol w:w="5705"/>
        <w:tblGridChange w:id="0">
          <w:tblGrid>
            <w:gridCol w:w="1428"/>
            <w:gridCol w:w="2577"/>
            <w:gridCol w:w="570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2060" w:val="clear"/>
          </w:tcPr>
          <w:p w:rsidR="00000000" w:rsidDel="00000000" w:rsidP="00000000" w:rsidRDefault="00000000" w:rsidRPr="00000000" w14:paraId="000000E1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Раздел A. Идентификация НПО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 1 Информация об организации</w:t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организации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Вебсайт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A.2 Контактная информация</w:t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Должность/Обязанности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Зарегистрированы ли вы на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портале партнеров Организации Объединенных Наций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A.3 Заявление о конфликте интересов</w:t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Известно ли вам, что какие-либо сотрудники вашей организации состоят в личных или финансовых отношениях с каким-либо сотрудником ЮНФПА или что существуют какие-либо другие конфликты интересов с этой программой или ЮНФПА? Если да, пожалуйста, уточните. 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A.4. Заявление о случаях мошенничества</w:t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ли в вашей организации политика и практика предотвращения мошенничества?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shd w:fill="002060" w:val="clear"/>
          </w:tcPr>
          <w:p w:rsidR="00000000" w:rsidDel="00000000" w:rsidP="00000000" w:rsidRDefault="00000000" w:rsidRPr="00000000" w14:paraId="00000103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Раздел B. Обзор организации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75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755"/>
        <w:gridCol w:w="2206"/>
        <w:gridCol w:w="5714"/>
        <w:tblGridChange w:id="0">
          <w:tblGrid>
            <w:gridCol w:w="1755"/>
            <w:gridCol w:w="2206"/>
            <w:gridCol w:w="571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Merge w:val="restart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B.1 Годовой бюджет</w:t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Размер годового бюджета (предыдущий год, в долл. США)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финансирования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Укажите источники финансирования, включая местных, международных и частных доноров.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партнеры в области финансирования/доноры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B.2 Кадровый потенциал</w:t>
            </w:r>
          </w:p>
        </w:tc>
        <w:tc>
          <w:tcPr>
            <w:gridSpan w:val="2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Перечень количества и ключевых обязанностей основного персонала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75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755"/>
        <w:gridCol w:w="7920"/>
        <w:tblGridChange w:id="0">
          <w:tblGrid>
            <w:gridCol w:w="1755"/>
            <w:gridCol w:w="79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B.3 Мандат и справочная информация НПО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Изложите мандат и опишите сферу деятельности организации, а также то, как она согласуется с мандатом ЮНФПА.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B.4 Доступные экспертные знания и специалисты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Опишите отличительный технический потенциал организации для достижения результатов в предлагаемой программной области.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B.5 Опыт работы в предлагаемой области деятельности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Кратко опишите тип/сферы охвата и ключевые результаты, достигнутые в предлагаемой программной области за последние годы, включая любое признание, полученное на местном/глобальном уровне за работу в предлагаемой области. Включите краткий опыт работы в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shd w:fill="b7b7b7" w:val="clear"/>
                <w:rtl w:val="0"/>
              </w:rPr>
              <w:t xml:space="preserve">стране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] и предыдущий опыт работы в любой организации системы Организации Объединенных Наций.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B.6 Знание местного контекста/Доступность для целевого населения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План присутствия и общественных отношений в месте (местах), в котором (которых) будут осуществляться мероприятия, включая доступ к уязвимым группам населения и труднодоступным районам, если таковые имеются.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B.7 Доверие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какой степени НПО признается заслуживающей доверия правительством и/или другими ключевыми заинтересованными сторонами/партнерами?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B.8 Мониторинг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Опишите существующие системы (политику, процедуры, руководящие принципы и другие инструменты), которые систематически собирают, анализируют и используют данные мониторинга программ.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80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640"/>
        <w:gridCol w:w="7740"/>
        <w:tblGridChange w:id="0">
          <w:tblGrid>
            <w:gridCol w:w="1640"/>
            <w:gridCol w:w="77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Раздел C. Обзор предложения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С.1 Название программы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С.2 Результаты, которым способствует программа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См. раздел 1.3 приглашения к подаче предложений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С.3 Предлагаемая продолжительность программы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 ММ/ГГГГ по ММ/ГГГГ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С.4 Предлагаемый бюджет программы</w:t>
            </w:r>
          </w:p>
        </w:tc>
        <w:tc>
          <w:tcPr>
            <w:vMerge w:val="restart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30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695"/>
        <w:gridCol w:w="7635"/>
        <w:tblGridChange w:id="0">
          <w:tblGrid>
            <w:gridCol w:w="1695"/>
            <w:gridCol w:w="76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Раздел D. Предлагаемые оперативные меры и мероприятия по достижению намеченных результатов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D.1 Краткое описание программы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этом разделе должно содержаться краткое описание программы. </w:t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Оно должна включать в себя выделение проблемы, контекст и обоснование программы: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ind w:left="250" w:hanging="25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Обзор существующей проблемы;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ind w:left="250" w:hanging="25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 эта проблема связана с глобальными/региональными/национальными приоритетами и политикой; и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4"/>
              </w:numPr>
              <w:ind w:left="250" w:hanging="2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Актуальность программы для решения выявленной проблемы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D.2 Основная информация об организации и потенциал для осуществления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этом разделе следует кратко объяснить, почему подающая предложение организация обладает опытом, потенциалом и приверженностью для успешного выполнения плана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D.3 Ожидаемые результаты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достигнет эта программа — цели программы и ожидаемые результаты.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D.4 Описание мероприятий и бюджет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этом разделе содержится подробное описание предусмотренных в бюджете мероприятий, которые должны быть осуществлены для достижения ожидаемых результатов. Необходимо подчеркнуть четкую связь между мероприятиями и результатами. Заявитель должен предоставить отдельную электронную таблицу в формате excel с полной информацией о мероприятиях и соответствующем бюджете.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D.5 Гендерная проблематика, равенство и устойчивость (необязательно)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Кратко объясните практические меры, принятые в рамках программы для решения вопросов гендерной проблематики, равенства и устойчивости.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D.6 Воздействие на окружающую среду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Опишите вероятное воздействие программы на окружающую среду, если таковое имеется.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D.7 Другие привлеченные партнеры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этом разделе описываются другие партнеры, которые играют определенную роль в осуществлении программы, включая потенциальных субподрядчиков и другие организации, оказывающие техническую и финансовую поддержку программе.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D.8 Вклад НПО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этом разделе кратко излагается конкретный вклад партнера в программу (в денежной или неденежной форме).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D.9 Дополнительная документация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Дополнительная документация может быть упомянута здесь для справки.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30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695"/>
        <w:gridCol w:w="7635"/>
        <w:tblGridChange w:id="0">
          <w:tblGrid>
            <w:gridCol w:w="1695"/>
            <w:gridCol w:w="76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Раздел E. Программные риски и мониторинг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E.1 Риски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Определите основные факторы риска, которые могут привести к тому, что предлагаемые мероприятия не будут успешно реализованы, и любые ключевые предположения, на которых основаны предлагаемые оперативные меры. Включите любые действия, которые организация предпримет для устранения/снижения выявленных рисков.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E.2 Мониторинг </w:t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этом разделе кратко описываются мероприятия по мониторингу.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30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1695"/>
        <w:gridCol w:w="7635"/>
        <w:tblGridChange w:id="0">
          <w:tblGrid>
            <w:gridCol w:w="1695"/>
            <w:gridCol w:w="76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Раздел F. Рекомендации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Предоставьте 3 рекомендации в поддержку вашего предложения. Укажите имя, должность, контактную информацию и краткое описание отношений.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Рекомендация 1: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Рекомендация 2: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bdd7ee" w:space="0" w:sz="6" w:val="single"/>
            </w:tcBorders>
            <w:shd w:fill="d9d9d9" w:val="clea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Рекомендация 3:</w:t>
            </w:r>
          </w:p>
        </w:tc>
        <w:tc>
          <w:tcPr>
            <w:tcBorders>
              <w:left w:color="bdd7ee" w:space="0" w:sz="6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15.0" w:type="dxa"/>
        <w:jc w:val="left"/>
        <w:tblInd w:w="-143.0" w:type="dxa"/>
        <w:tblBorders>
          <w:top w:color="bdd7ee" w:space="0" w:sz="6" w:val="single"/>
          <w:left w:color="bdd7ee" w:space="0" w:sz="6" w:val="single"/>
          <w:bottom w:color="bdd7ee" w:space="0" w:sz="6" w:val="single"/>
          <w:right w:color="bdd7ee" w:space="0" w:sz="6" w:val="single"/>
          <w:insideH w:color="bdd7ee" w:space="0" w:sz="6" w:val="single"/>
          <w:insideV w:color="bdd7ee" w:space="0" w:sz="6" w:val="single"/>
        </w:tblBorders>
        <w:tblLayout w:type="fixed"/>
        <w:tblLook w:val="0400"/>
      </w:tblPr>
      <w:tblGrid>
        <w:gridCol w:w="2295"/>
        <w:gridCol w:w="7020"/>
        <w:tblGridChange w:id="0">
          <w:tblGrid>
            <w:gridCol w:w="2295"/>
            <w:gridCol w:w="70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bdd7ee" w:space="0" w:sz="6" w:val="single"/>
            </w:tcBorders>
            <w:shd w:fill="002060" w:val="clea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2"/>
                <w:szCs w:val="22"/>
                <w:rtl w:val="0"/>
              </w:rPr>
              <w:t xml:space="preserve">Раздел G. Оценка потенциала в области предупреждения сексуальной эксплуатации и сексуальных надругательств (ЗСЭСН)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Обратите внимание, что результаты этой оценки могут быть переданы другим подразделениям Организации Объединенных Наций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bdd7ee" w:space="0" w:sz="6" w:val="single"/>
              <w:left w:color="bdd7ee" w:space="0" w:sz="6" w:val="single"/>
              <w:right w:color="ffffff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G.0 Предварительная проверка </w:t>
            </w:r>
          </w:p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Имеет ли организация прямой контакт с бенефициарами? </w:t>
            </w:r>
          </w:p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случае отрицательного ответа заполнять данный раздел до конца не требуется. Однако обратите внимание: если ваша организация начнет работать с бенефициарами позже, ЮНФПА потребует от вашей организации заполнить форму самооценки. 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да, продолжайте заполнять форму.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bdd7ee" w:space="0" w:sz="6" w:val="single"/>
              <w:left w:color="bdd7ee" w:space="0" w:sz="6" w:val="single"/>
              <w:right w:color="ffffff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Проводилась ли оценка потенциала организации в области ЗСЭСН каким-либо подразделением ООН за последние 5 лет? 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Да ☐  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Если да, укажите баллы оценки и приложите подтверждающую документацию и не заполняйте этот раздел.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Нет 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Если нет, заполните разделы G.1 — G.8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G.1 Требования к политике </w:t>
            </w:r>
          </w:p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Предоставьте подтверждающую документацию для любых полей, отмеченных как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вашей организации существует программный документ по вопросам ЗСЭСН. Данный документ включает по меньшей мере письменное обязательство о том, что партнер принимает стандарты поведения, изложенные в разделе 3 документа ST/SGB/2003/13.</w:t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 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Кодекс поведения (внутренний или межведомственный)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Политику ЗСЭСН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Документацию стандартных процедур, предписывающих всем сотрудникам ознакомиться/подписать политику ЗСЭСН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G.2 Контракты с субподрядчиками 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Контракты и соглашения о партнерстве вашей организации включают стандартную оговорку, требующую от субподрядчиков принятия политики, запрещающей СЭН, и принятия мер по предотвращению СЭН и реагированию на подобные случаи.</w:t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          Нет ☐           *Не применимо ☐</w:t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Контракты/партнерские соглашения для субподрядчиков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* Обратите внимание: если партнер указывает во время самооценки, что не использует услуги субподрядчиков, то такой ключевой стандарт не применим, и ЮНФПА будет оценивать этот ключевой стандарт с помощью оценки «не применимо». Однако если эта ситуация изменится и один и тот же партнер впоследствии передаст деятельность на субподряд другой организации, потребуется повторная оценка.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G.3 Найм персонала 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вашей организации существует систематическая процедура проверки кандидатов на работу с помощью подходящего тестирования. Оно должно включать как минимум проверку данных о сексуальных проступках и личное заявление кандидата на должность, в котором указано, что он никогда не подвергался санкциям (дисциплинарным, административным или уголовным), вытекающим из расследования в связи с СЭН, или оставил занимаемый пост до проведения расследования и отказался сотрудничать в ходе такого расследования.</w:t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 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Шаблон проверки данных, включая проверку на совершенные преступления сексуального характера (в том числе подтверждение от предыдущих работодателей и персональное заявление)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Процедуры найма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G.4 Обучение 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Ваша организация проводит обязательные тренинги (онлайн или очно) для всех сотрудников партнеров-исполнителей и связанного с ними персонала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(далее «персонал») по вопросам ЗСЭСН и соответствующим процедурам. Обучение должно, как минимум, включать: 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определение СЭН (соответствующее определению, предоставленному ООН); 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разъяснения о запрете СЭН; и 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действия, которые должен предпринять персонал (т. е. оперативное сообщение о подозрениях и направление жертв за надлежащей помощью).</w:t>
            </w:r>
          </w:p>
          <w:p w:rsidR="00000000" w:rsidDel="00000000" w:rsidP="00000000" w:rsidRDefault="00000000" w:rsidRPr="00000000" w14:paraId="000001A2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 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Комплект средств обучения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Лист учета посещения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Свидетельства о прохождении обучения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G.5 Оповещение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Ваша организация располагает механизмами и процедурами для персонала, получателей помощи и сообществ, включая детей, для сообщения о предполагаемых случаях СЭН, отвечающими ключевым стандартам оповещения (то есть безопасности, конфиденциальности и доступности).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 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Внутренний механизм подачи жалоб и предоставления обратной связи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Участие в совместных механизмах отчетности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Информационные материалы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План информационного просвещения по вопросам ЗСЭСН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Описание механизма оповещения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Политику осведомителей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G.6 Помощь 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2et92p0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Ваша организация располагает системой направления жертв СЭН в службы поддержки, доступные на местном уровне, на основе потребностей и согласия жертв. Этот пункт может включать активный вклад во внутригосударственные сети ЗСЭСН и/или системы противодействия гендерному насилию (где это применимо) и/или направления для получения помощи на межучрежденческом уровне.</w:t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Направление за помощью внутри организации или в другие ведомства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Список доступных поставщиков услуг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Описание реферальной или стандартной рабочей процедуры (СРП)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Форму направления для жертв гендерного насилия/СЭН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Руководящие принципы в отношении помощи жертве и/или обучения по вопросам гендерного насилия и принципам ведения случаев гендерного насилия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G.7 Расследования 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 вашей организации существует процесс расследования заявлений о случаях СЭН, могут быть предоставлены доказательства. Пункт может включать в себя систему направления дел для проведения расследований в тех случаях, когда внутренних возможностей недостаточно.</w:t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Нет ☐</w:t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7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Письменный процесс рассмотрения заявлений о случаях СЭН 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7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Выделенные ресурсы для расследования(-ий) и/или обязательство партнера по оказанию поддержки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7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Политику/процедуры расследования ЗСЭСН 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7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Контракт с профессиональной следственной службой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7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dd7ee" w:space="0" w:sz="6" w:val="single"/>
              <w:left w:color="bdd7ee" w:space="0" w:sz="6" w:val="single"/>
              <w:bottom w:color="bdd7ee" w:space="0" w:sz="6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G.8 Корректировочные меры </w:t>
            </w:r>
          </w:p>
        </w:tc>
        <w:tc>
          <w:tcPr>
            <w:tcBorders>
              <w:top w:color="bdd7ee" w:space="0" w:sz="6" w:val="single"/>
              <w:left w:color="ffffff" w:space="0" w:sz="4" w:val="single"/>
              <w:bottom w:color="bdd7ee" w:space="0" w:sz="6" w:val="single"/>
              <w:right w:color="bdd7ee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Ваша организация приняла соответствующие корректировочные меры в ответ на заявления о случаях СЭН, если таковые имели место. </w:t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 ☐           Нет ☐        Не применимо ☐</w:t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Сопроводительная документация может включать: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3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Доказательства осуществления корректировочных мер, определенных подразделением-партнером ООН, включая укрепление потенциала персонала.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13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Конкретные меры по выявлению и снижению рисков СЭН при осуществлении программы.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3"/>
              </w:numPr>
              <w:ind w:left="360" w:hanging="360"/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22"/>
                <w:szCs w:val="22"/>
                <w:rtl w:val="0"/>
              </w:rPr>
              <w:t xml:space="preserve">Иное (пожалуйста, уточните):</w:t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Arial Bol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tabs>
        <w:tab w:val="center" w:pos="4680"/>
        <w:tab w:val="right" w:pos="9360"/>
      </w:tabs>
      <w:spacing w:after="708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Термин «связанный с ней персонал» включает, например, субподрядчиков, консультантов, стажеров или добровольцев и иных лиц, связанных с партнером или работающих от его имени.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both"/>
    </w:pPr>
    <w:rPr>
      <w:b w:val="1"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both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426"/>
      </w:tabs>
      <w:spacing w:after="240" w:before="480" w:lineRule="auto"/>
      <w:ind w:left="142" w:hanging="142"/>
    </w:pPr>
    <w:rPr>
      <w:rFonts w:ascii="Arial Bold" w:cs="Arial Bold" w:eastAsia="Arial Bold" w:hAnsi="Arial Bold"/>
      <w:b w:val="1"/>
      <w:color w:val="0099ff"/>
      <w:sz w:val="24"/>
      <w:szCs w:val="24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240"/>
      <w:jc w:val="both"/>
      <w:outlineLvl w:val="0"/>
    </w:pPr>
    <w:rPr>
      <w:b w:val="1"/>
      <w:color w:val="2e75b5"/>
      <w:sz w:val="22"/>
      <w:szCs w:val="2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/>
      <w:jc w:val="both"/>
      <w:outlineLvl w:val="1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tabs>
        <w:tab w:val="left" w:pos="426"/>
      </w:tabs>
      <w:spacing w:after="240" w:before="480"/>
      <w:ind w:left="142" w:hanging="142"/>
    </w:pPr>
    <w:rPr>
      <w:rFonts w:ascii="Arial Bold" w:cs="Arial Bold" w:eastAsia="Arial Bold" w:hAnsi="Arial Bold"/>
      <w:b w:val="1"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243F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243FD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1243FD"/>
  </w:style>
  <w:style w:type="character" w:styleId="CommentTextChar" w:customStyle="1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243F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243FD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D647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 w:val="1"/>
    <w:rsid w:val="00D647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59"/>
    <w:rsid w:val="00D619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 w:val="1"/>
    <w:rsid w:val="006C5022"/>
    <w:pPr>
      <w:ind w:left="720"/>
      <w:contextualSpacing w:val="1"/>
    </w:pPr>
  </w:style>
  <w:style w:type="character" w:styleId="ListParagraphChar" w:customStyle="1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qFormat w:val="1"/>
    <w:locked w:val="1"/>
    <w:rsid w:val="00A9161C"/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ED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F93B3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target" w:customStyle="1">
    <w:name w:val="target"/>
    <w:basedOn w:val="Normal"/>
    <w:qFormat w:val="1"/>
    <w:rsid w:val="00D00DBB"/>
    <w:rPr>
      <w:rFonts w:asciiTheme="minorHAnsi" w:cstheme="minorBidi" w:eastAsiaTheme="minorEastAsia" w:hAnsiTheme="minorHAnsi"/>
      <w:sz w:val="22"/>
      <w:szCs w:val="22"/>
      <w:lang w:eastAsia="ja-JP" w:val="en-US"/>
    </w:rPr>
  </w:style>
  <w:style w:type="table" w:styleId="a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6128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61285"/>
    <w:rPr>
      <w:color w:val="954f72" w:themeColor="followedHyperlink"/>
      <w:u w:val="single"/>
    </w:rPr>
  </w:style>
  <w:style w:type="table" w:styleId="a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kyrgyzstan.unfpa.org" TargetMode="External"/><Relationship Id="rId10" Type="http://schemas.openxmlformats.org/officeDocument/2006/relationships/hyperlink" Target="https://drive.google.com/file/d/1tlcaWxfnei2GrbUY8xu-9rtaaCHUdIzU/view?usp=sharing" TargetMode="External"/><Relationship Id="rId13" Type="http://schemas.openxmlformats.org/officeDocument/2006/relationships/hyperlink" Target="http://www.unpartnerportal.org" TargetMode="External"/><Relationship Id="rId12" Type="http://schemas.openxmlformats.org/officeDocument/2006/relationships/hyperlink" Target="https://unfpa.zoom.us/j/8459328557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ompose/?To=PROCUREMENT_KYRGYZSTAN@unfpa.org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openxmlformats.org/officeDocument/2006/relationships/hyperlink" Target="mailto:tenders_kyrgyzstan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1yGtaeGk+SD8nqCLd9L4PqSzg==">AMUW2mVHcH99S+FioGAe/qthO/eirBHFjduENPyS7YtWFQGqoMCLXSF0yI5MA24jnYdnYZXAxrLjjF2TsM3qlTcqNVUZ8sAEw7m2BsYZllVMnTM4+iT/j+SU5R7sI1TZa6wXI0DaWsO6T43CztubSNrz/tbdzPA7pO6SRGqRI4pUKCrjB3OXfREkvHV6OpKOwKNVLTl525pIC1+I0U+Jcxp7Sh5Lk1Bt8g==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2020-12-31T13:12:00Z</dcterms:created>
  <dc:creator>Nicole Kim</dc:creator>
</cp:coreProperties>
</file>